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41730F" w14:textId="628036B6" w:rsidR="00DF13C8" w:rsidRPr="009B75FA" w:rsidRDefault="00E628F5" w:rsidP="009B75FA">
      <w:pPr>
        <w:pStyle w:val="Title"/>
        <w:rPr>
          <w:sz w:val="24"/>
          <w:szCs w:val="24"/>
        </w:rPr>
      </w:pPr>
      <w:r w:rsidRPr="00E628F5">
        <w:rPr>
          <w:sz w:val="24"/>
          <w:szCs w:val="24"/>
        </w:rPr>
        <w:t>Quantification of cancer cell migration with an integrated experimental-computational pipeline</w:t>
      </w:r>
    </w:p>
    <w:p w14:paraId="32E7F040" w14:textId="66952778" w:rsidR="00255B67" w:rsidRPr="00956A27" w:rsidRDefault="00DF13C8" w:rsidP="00EA7AD4">
      <w:pPr>
        <w:pStyle w:val="Subtitle"/>
        <w:rPr>
          <w:lang w:val="es-SV"/>
        </w:rPr>
      </w:pPr>
      <w:r w:rsidRPr="00956A27">
        <w:rPr>
          <w:lang w:val="es-SV"/>
        </w:rPr>
        <w:t>Edwin F. Ju</w:t>
      </w:r>
      <w:r w:rsidR="002D3E59" w:rsidRPr="00956A27">
        <w:rPr>
          <w:lang w:val="es-SV"/>
        </w:rPr>
        <w:t>a</w:t>
      </w:r>
      <w:r w:rsidRPr="00956A27">
        <w:rPr>
          <w:lang w:val="es-SV"/>
        </w:rPr>
        <w:t>rez</w:t>
      </w:r>
      <w:r w:rsidR="008F7C29" w:rsidRPr="008F7C29">
        <w:rPr>
          <w:vertAlign w:val="superscript"/>
          <w:lang w:val="es-SV"/>
        </w:rPr>
        <w:t>‡</w:t>
      </w:r>
      <w:r w:rsidR="008F7C29">
        <w:rPr>
          <w:vertAlign w:val="superscript"/>
          <w:lang w:val="es-SV"/>
        </w:rPr>
        <w:t>,</w:t>
      </w:r>
      <w:r w:rsidR="00C82690" w:rsidRPr="00956A27">
        <w:rPr>
          <w:vertAlign w:val="superscript"/>
          <w:lang w:val="es-SV"/>
        </w:rPr>
        <w:t>1</w:t>
      </w:r>
      <w:r w:rsidR="00956A27" w:rsidRPr="00956A27">
        <w:rPr>
          <w:vertAlign w:val="superscript"/>
          <w:lang w:val="es-SV"/>
        </w:rPr>
        <w:t>*</w:t>
      </w:r>
      <w:r w:rsidR="00C82690" w:rsidRPr="00956A27">
        <w:rPr>
          <w:vertAlign w:val="superscript"/>
          <w:lang w:val="es-SV"/>
        </w:rPr>
        <w:t>,2</w:t>
      </w:r>
      <w:r w:rsidR="00956A27">
        <w:rPr>
          <w:vertAlign w:val="superscript"/>
          <w:lang w:val="es-SV"/>
        </w:rPr>
        <w:t>*,3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>, Carolina Garri</w:t>
      </w:r>
      <w:r w:rsidR="00C82690" w:rsidRPr="00956A27">
        <w:rPr>
          <w:vertAlign w:val="superscript"/>
          <w:lang w:val="es-SV"/>
        </w:rPr>
        <w:t>1</w:t>
      </w:r>
      <w:r w:rsidRPr="00956A27">
        <w:rPr>
          <w:lang w:val="es-SV"/>
        </w:rPr>
        <w:t>, Ahmadreza Ghaffarizadeh</w:t>
      </w:r>
      <w:r w:rsidR="00C82690" w:rsidRPr="00956A27">
        <w:rPr>
          <w:vertAlign w:val="superscript"/>
          <w:lang w:val="es-SV"/>
        </w:rPr>
        <w:t>1</w:t>
      </w:r>
      <w:r w:rsidR="00956A27">
        <w:rPr>
          <w:vertAlign w:val="superscript"/>
          <w:lang w:val="es-SV"/>
        </w:rPr>
        <w:t>*,4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 xml:space="preserve">, </w:t>
      </w:r>
    </w:p>
    <w:p w14:paraId="06F88D03" w14:textId="4C5F2642" w:rsidR="00DF13C8" w:rsidRPr="00624952" w:rsidRDefault="00DF13C8" w:rsidP="00EA7AD4">
      <w:pPr>
        <w:pStyle w:val="Subtitle"/>
      </w:pPr>
      <w:r w:rsidRPr="00624952">
        <w:t>Paul Macklin</w:t>
      </w:r>
      <w:r w:rsidR="00C82690" w:rsidRPr="00624952">
        <w:rPr>
          <w:vertAlign w:val="superscript"/>
        </w:rPr>
        <w:t>1</w:t>
      </w:r>
      <w:r w:rsidR="00956A27">
        <w:rPr>
          <w:vertAlign w:val="superscript"/>
        </w:rPr>
        <w:t>*,5</w:t>
      </w:r>
      <w:r w:rsidR="00956A27" w:rsidRPr="00956A27">
        <w:rPr>
          <w:vertAlign w:val="superscript"/>
        </w:rPr>
        <w:t>†</w:t>
      </w:r>
      <w:r w:rsidRPr="00624952">
        <w:t>, and Kian Kani</w:t>
      </w:r>
      <w:r w:rsidR="00C82690" w:rsidRPr="00624952">
        <w:rPr>
          <w:vertAlign w:val="superscript"/>
        </w:rPr>
        <w:t>1</w:t>
      </w:r>
    </w:p>
    <w:p w14:paraId="084663B1" w14:textId="7C24EE1F" w:rsidR="00C82690" w:rsidRPr="00624952" w:rsidRDefault="00C82690" w:rsidP="00EA7AD4">
      <w:pPr>
        <w:pStyle w:val="Subtitle"/>
      </w:pPr>
    </w:p>
    <w:p w14:paraId="0F6B283D" w14:textId="76E75D2B" w:rsidR="00C82690" w:rsidRPr="00624952" w:rsidRDefault="00C82690" w:rsidP="00EA7AD4">
      <w:pPr>
        <w:pStyle w:val="Subtitle"/>
      </w:pPr>
      <w:r w:rsidRPr="00624952">
        <w:t>1: Lawrence J. Ellison Institute for Transformative Medicine, Keck School o</w:t>
      </w:r>
      <w:bookmarkStart w:id="0" w:name="_GoBack"/>
      <w:bookmarkEnd w:id="0"/>
      <w:r w:rsidRPr="00624952">
        <w:t>f Medicine, University of Southern California, Los Angeles, California</w:t>
      </w:r>
      <w:r w:rsidR="008F7C29">
        <w:t>, 90007</w:t>
      </w:r>
    </w:p>
    <w:p w14:paraId="1CF362B6" w14:textId="53710DD6" w:rsidR="00C82690" w:rsidRDefault="00C82690" w:rsidP="00EA7AD4">
      <w:pPr>
        <w:pStyle w:val="Subtitle"/>
      </w:pPr>
      <w:r w:rsidRPr="00624952">
        <w:t>2: Ming Hsieh Department of Electrical Engineering, Viterbi School of Engineering, University of Southern California, Los Angeles, California</w:t>
      </w:r>
      <w:r w:rsidR="008F7C29">
        <w:t>, 90007</w:t>
      </w:r>
    </w:p>
    <w:p w14:paraId="75A1982B" w14:textId="1C4BB1CE" w:rsidR="00956A27" w:rsidRDefault="00956A27" w:rsidP="00956A27">
      <w:pPr>
        <w:jc w:val="center"/>
      </w:pPr>
      <w:r>
        <w:t>3: University of California San Diego, San Diego, California</w:t>
      </w:r>
      <w:r w:rsidR="008F7C29">
        <w:t>, 92093</w:t>
      </w:r>
    </w:p>
    <w:p w14:paraId="2DA205B1" w14:textId="71B3BF1B" w:rsidR="00956A27" w:rsidRDefault="00956A27" w:rsidP="00956A27">
      <w:pPr>
        <w:jc w:val="center"/>
      </w:pPr>
      <w:r>
        <w:t>4: Uber, San Francisco Bay Area, California</w:t>
      </w:r>
      <w:r w:rsidR="008F7C29">
        <w:t>, 94103</w:t>
      </w:r>
    </w:p>
    <w:p w14:paraId="7FC0B2CB" w14:textId="4AD19909" w:rsidR="00956A27" w:rsidRPr="00956A27" w:rsidRDefault="00956A27" w:rsidP="00956A27">
      <w:pPr>
        <w:jc w:val="center"/>
      </w:pPr>
      <w:r>
        <w:t>5: Indiana University, Bloomingdale, Indiana</w:t>
      </w:r>
      <w:r w:rsidR="008F7C29">
        <w:t>, 47405</w:t>
      </w:r>
    </w:p>
    <w:p w14:paraId="1EF1B51A" w14:textId="5A4E1CCE" w:rsidR="00956A27" w:rsidRPr="00956A27" w:rsidRDefault="008F7C29" w:rsidP="00956A27">
      <w:pPr>
        <w:jc w:val="center"/>
      </w:pPr>
      <w:r w:rsidRPr="008F7C29">
        <w:t>‡</w:t>
      </w:r>
      <w:r w:rsidRPr="008F7C29">
        <w:t>:</w:t>
      </w:r>
      <w:r>
        <w:t xml:space="preserve"> corresponding author, </w:t>
      </w:r>
      <w:r w:rsidR="00956A27">
        <w:t>*: former</w:t>
      </w:r>
      <w:r>
        <w:t xml:space="preserve"> institution, </w:t>
      </w:r>
      <w:r w:rsidR="00956A27">
        <w:t>†: Current</w:t>
      </w:r>
      <w:r>
        <w:t xml:space="preserve"> institution</w:t>
      </w:r>
    </w:p>
    <w:p w14:paraId="4C2275FA" w14:textId="77777777" w:rsidR="00DF13C8" w:rsidRPr="00624952" w:rsidRDefault="00DF13C8" w:rsidP="00EA7AD4"/>
    <w:p w14:paraId="6114C9F1" w14:textId="77777777" w:rsidR="00255B67" w:rsidRPr="00624952" w:rsidRDefault="00255B67" w:rsidP="00EA7AD4">
      <w:pPr>
        <w:pStyle w:val="Heading1"/>
      </w:pPr>
      <w:r w:rsidRPr="00624952">
        <w:t>Abstract</w:t>
      </w:r>
    </w:p>
    <w:p w14:paraId="7593FF62" w14:textId="77777777" w:rsidR="00D555C5" w:rsidRPr="00624952" w:rsidRDefault="00D555C5" w:rsidP="00EA7AD4"/>
    <w:p w14:paraId="49B954D4" w14:textId="40C13DDE" w:rsidR="00255B67" w:rsidRPr="00624952" w:rsidRDefault="00DB1D89" w:rsidP="00EA7AD4">
      <w:r w:rsidRPr="00624952">
        <w:t>We describe a</w:t>
      </w:r>
      <w:r w:rsidR="00580A08" w:rsidRPr="00624952">
        <w:t>n integ</w:t>
      </w:r>
      <w:r w:rsidR="006C2011" w:rsidRPr="00624952">
        <w:t>rated experimental-computational</w:t>
      </w:r>
      <w:r w:rsidRPr="00624952">
        <w:t xml:space="preserve"> pipeline for quantifying cell migration </w:t>
      </w:r>
      <w:r w:rsidRPr="00AE37B8">
        <w:rPr>
          <w:i/>
        </w:rPr>
        <w:t>in vitro</w:t>
      </w:r>
      <w:r w:rsidRPr="00624952">
        <w:t>. This pipeline is robust</w:t>
      </w:r>
      <w:r w:rsidRPr="00AA43B9">
        <w:t xml:space="preserve"> </w:t>
      </w:r>
      <w:r w:rsidRPr="00624952">
        <w:t xml:space="preserve">to image noise, open source, and user friendly. </w:t>
      </w:r>
      <w:r w:rsidR="00AE37B8">
        <w:t>The experimental component uses the Oris cell migration assay (Platypus Technologies) to create migration regions</w:t>
      </w:r>
      <w:r w:rsidR="004B7FD6" w:rsidRPr="00624952">
        <w:t xml:space="preserve">. </w:t>
      </w:r>
      <w:r w:rsidR="00AE37B8" w:rsidRPr="00AA43B9">
        <w:t xml:space="preserve">The computational component of the pipeline </w:t>
      </w:r>
      <w:r w:rsidR="00AE37B8">
        <w:t xml:space="preserve">creates masks in Matlab (MathWorks) </w:t>
      </w:r>
      <w:r w:rsidR="00AE37B8" w:rsidRPr="00AA43B9">
        <w:t xml:space="preserve">to </w:t>
      </w:r>
      <w:r w:rsidR="00AE37B8">
        <w:t>cell-covered regions</w:t>
      </w:r>
      <w:r w:rsidR="00AE37B8" w:rsidRPr="00AA43B9">
        <w:t xml:space="preserve">, </w:t>
      </w:r>
      <w:r w:rsidR="00AE37B8">
        <w:t>uses a genetic algorithm to automatically select t</w:t>
      </w:r>
      <w:r w:rsidR="00AE37B8" w:rsidRPr="00AA43B9">
        <w:t xml:space="preserve">he migration region, and </w:t>
      </w:r>
      <w:r w:rsidR="00AE37B8">
        <w:t xml:space="preserve">outputs a metric to </w:t>
      </w:r>
      <w:r w:rsidR="00AE37B8" w:rsidRPr="00AA43B9">
        <w:t>quantify the migration of cells.</w:t>
      </w:r>
      <w:r w:rsidR="004A2F0B" w:rsidRPr="00624952">
        <w:t xml:space="preserve"> </w:t>
      </w:r>
      <w:r w:rsidRPr="00624952">
        <w:t xml:space="preserve">In this work we demonstrate the utility of our pipeline by quantifying the effects of a drug (Taxol) and of </w:t>
      </w:r>
      <w:r w:rsidR="00CC1526">
        <w:t xml:space="preserve">the secreted </w:t>
      </w:r>
      <w:r w:rsidR="00CC1526" w:rsidRPr="00CC1526">
        <w:t>Anterior Gradient 2</w:t>
      </w:r>
      <w:r w:rsidR="00CC1526">
        <w:t xml:space="preserve"> (sAGR2) protein</w:t>
      </w:r>
      <w:r w:rsidRPr="00624952">
        <w:t xml:space="preserve"> in the migration of MDA-MB-231 cells</w:t>
      </w:r>
      <w:r w:rsidR="002D3E59">
        <w:t xml:space="preserve"> (a breast cancer </w:t>
      </w:r>
      <w:r w:rsidR="00BC6999">
        <w:t>cell line</w:t>
      </w:r>
      <w:r w:rsidR="002D3E59">
        <w:t>)</w:t>
      </w:r>
      <w:r w:rsidRPr="00624952">
        <w:t xml:space="preserve">. In particular, </w:t>
      </w:r>
      <w:r w:rsidR="00AE37B8">
        <w:t xml:space="preserve">we show that </w:t>
      </w:r>
      <w:r w:rsidR="004D0654">
        <w:t xml:space="preserve">blocking </w:t>
      </w:r>
      <w:r w:rsidR="00CC1526">
        <w:t>sAGR2</w:t>
      </w:r>
      <w:r w:rsidR="00AE37B8">
        <w:t xml:space="preserve"> redu</w:t>
      </w:r>
      <w:r w:rsidR="00CC1526">
        <w:t>ce</w:t>
      </w:r>
      <w:r w:rsidR="004D0654">
        <w:t>s</w:t>
      </w:r>
      <w:r w:rsidR="00CC1526">
        <w:t xml:space="preserve"> migration of MDA-MB-231 cells</w:t>
      </w:r>
      <w:r w:rsidRPr="00624952">
        <w:t>.</w:t>
      </w:r>
    </w:p>
    <w:p w14:paraId="65F8172A" w14:textId="77777777" w:rsidR="00A3426F" w:rsidRPr="00624952" w:rsidRDefault="00A3426F" w:rsidP="00EA7AD4"/>
    <w:p w14:paraId="799D9167" w14:textId="77777777" w:rsidR="00DF13C8" w:rsidRPr="00624952" w:rsidRDefault="00A3426F" w:rsidP="00EA7AD4">
      <w:pPr>
        <w:pStyle w:val="Heading1"/>
      </w:pPr>
      <w:r w:rsidRPr="00624952">
        <w:t>Introduction</w:t>
      </w:r>
    </w:p>
    <w:p w14:paraId="2CE012E2" w14:textId="77777777" w:rsidR="00D555C5" w:rsidRPr="00624952" w:rsidRDefault="00D555C5" w:rsidP="00EA7AD4">
      <w:pPr>
        <w:pStyle w:val="Heading2"/>
        <w:spacing w:before="0"/>
      </w:pPr>
    </w:p>
    <w:p w14:paraId="2B412253" w14:textId="77777777" w:rsidR="0082577C" w:rsidRPr="00624952" w:rsidRDefault="0082577C" w:rsidP="00EA7AD4">
      <w:pPr>
        <w:pStyle w:val="Heading2"/>
        <w:spacing w:before="0"/>
      </w:pPr>
      <w:r w:rsidRPr="00624952">
        <w:t>Objectives</w:t>
      </w:r>
    </w:p>
    <w:p w14:paraId="7CCE82CB" w14:textId="38DC4376" w:rsidR="0082577C" w:rsidRPr="00624952" w:rsidRDefault="00EE0327" w:rsidP="00EA7AD4">
      <w:r w:rsidRPr="00624952">
        <w:t xml:space="preserve">We set out to design and implement </w:t>
      </w:r>
      <w:r w:rsidR="009D333D" w:rsidRPr="00624952">
        <w:t xml:space="preserve">a pipeline to quantify cell migration that is </w:t>
      </w:r>
      <w:r w:rsidR="00D375C0" w:rsidRPr="00624952">
        <w:t>robust to image noise, open source, and user friendly</w:t>
      </w:r>
      <w:r w:rsidR="009D333D" w:rsidRPr="00624952">
        <w:t>.</w:t>
      </w:r>
    </w:p>
    <w:p w14:paraId="197CB23D" w14:textId="77777777" w:rsidR="00366A22" w:rsidRPr="00624952" w:rsidRDefault="00366A22" w:rsidP="00EA7AD4"/>
    <w:p w14:paraId="5FCE97D0" w14:textId="77777777" w:rsidR="00045C28" w:rsidRPr="00624952" w:rsidRDefault="004C3FF0" w:rsidP="00EA7AD4">
      <w:pPr>
        <w:pStyle w:val="Heading2"/>
        <w:spacing w:before="0"/>
      </w:pPr>
      <w:r w:rsidRPr="00624952">
        <w:t>Background</w:t>
      </w:r>
    </w:p>
    <w:p w14:paraId="13A2F59C" w14:textId="75EEE0C6" w:rsidR="00DF13C8" w:rsidRPr="00624952" w:rsidRDefault="00DF13C8" w:rsidP="00EA7AD4">
      <w:r w:rsidRPr="00624952">
        <w:t>In order to understand and treat cancer, we need to study and ultimately control metastasis</w:t>
      </w:r>
      <w:r w:rsidR="00366A22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[1]</w:t>
      </w:r>
      <w:r w:rsidR="006F5F49" w:rsidRPr="00624952">
        <w:fldChar w:fldCharType="end"/>
      </w:r>
      <w:r w:rsidRPr="00624952">
        <w:t>. A key aspect of metastasis is cell migration</w:t>
      </w:r>
      <w:r w:rsidR="00AE717E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[1]</w:t>
      </w:r>
      <w:r w:rsidR="006F5F49" w:rsidRPr="00624952">
        <w:fldChar w:fldCharType="end"/>
      </w:r>
      <w:r w:rsidRPr="00624952">
        <w:t>. The anterior gradient protein 2 (AGR2) has been shown to promote cell migration</w:t>
      </w:r>
      <w:r w:rsidR="00AC2A15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&lt;EndNote&gt;&lt;Cite&gt;&lt;Author&gt;Brychtova&lt;/Author&gt;&lt;Year&gt;2015&lt;/Year&gt;&lt;RecNum&gt;148&lt;/RecNum&gt;&lt;DisplayText&gt;[2]&lt;/DisplayText&gt;&lt;record&gt;&lt;rec-number&gt;148&lt;/rec-number&gt;&lt;foreign-keys&gt;&lt;key app="EN" db-id="de2xv2xvcrztxfexexkpzfznzsaersvvfe02" timestamp="1476142634"&gt;148&lt;/key&gt;&lt;/foreign-keys&gt;&lt;ref-type name="Conference Proceedings"&gt;10&lt;/ref-type&gt;&lt;contributors&gt;&lt;authors&gt;&lt;author&gt;Brychtova, Veronika&lt;/author&gt;&lt;author&gt;Mohtar, Aiman&lt;/author&gt;&lt;author&gt;Vojtesek, Borivoj&lt;/author&gt;&lt;author&gt;Hupp, Ted R&lt;/author&gt;&lt;/authors&gt;&lt;/contributors&gt;&lt;titles&gt;&lt;title&gt;Mechanisms of anterior gradient-2 regulation and function in cancer&lt;/title&gt;&lt;secondary-title&gt;Seminars in cancer biology&lt;/secondary-title&gt;&lt;/titles&gt;&lt;pages&gt;16-24&lt;/pages&gt;&lt;volume&gt;33&lt;/volume&gt;&lt;dates&gt;&lt;year&gt;2015&lt;/year&gt;&lt;/dates&gt;&lt;publisher&gt;Elsevier&lt;/publisher&gt;&lt;isbn&gt;1044-579X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[2]</w:t>
      </w:r>
      <w:r w:rsidR="006F5F49" w:rsidRPr="00624952">
        <w:fldChar w:fldCharType="end"/>
      </w:r>
      <w:r w:rsidRPr="00624952">
        <w:t>.</w:t>
      </w:r>
      <w:r w:rsidR="00AC2A15" w:rsidRPr="00624952">
        <w:t xml:space="preserve"> High expression of AGR2 </w:t>
      </w:r>
      <w:r w:rsidR="004642CB">
        <w:t xml:space="preserve">is </w:t>
      </w:r>
      <w:r w:rsidR="00AC2A15" w:rsidRPr="00624952">
        <w:t>correlated with aggressive form</w:t>
      </w:r>
      <w:r w:rsidR="00122967" w:rsidRPr="00624952">
        <w:t>s</w:t>
      </w:r>
      <w:r w:rsidR="00AC2A15" w:rsidRPr="00624952">
        <w:t xml:space="preserve"> of</w:t>
      </w:r>
      <w:r w:rsidR="00AC2A15" w:rsidRPr="00AA43B9">
        <w:t xml:space="preserve"> </w:t>
      </w:r>
      <w:r w:rsidR="002C1EAC">
        <w:t>various adenocarcinomas including</w:t>
      </w:r>
      <w:r w:rsidR="00AC2A15" w:rsidRPr="00624952">
        <w:t xml:space="preserve"> prostate </w:t>
      </w:r>
      <w:r w:rsidR="006F5F49" w:rsidRPr="00624952">
        <w:fldChar w:fldCharType="begin"/>
      </w:r>
      <w:r w:rsidR="00EF7152">
        <w:instrText xml:space="preserve"> ADDIN EN.CITE &lt;EndNote&gt;&lt;Cite&gt;&lt;Author&gt;Kani&lt;/Author&gt;&lt;Year&gt;2013&lt;/Year&gt;&lt;RecNum&gt;150&lt;/RecNum&gt;&lt;DisplayText&gt;[3]&lt;/DisplayText&gt;&lt;record&gt;&lt;rec-number&gt;150&lt;/rec-number&gt;&lt;foreign-keys&gt;&lt;key app="EN" db-id="de2xv2xvcrztxfexexkpzfznzsaersvvfe02" timestamp="1476143065"&gt;150&lt;/key&gt;&lt;/foreign-keys&gt;&lt;ref-type name="Journal Article"&gt;17&lt;/ref-type&gt;&lt;contributors&gt;&lt;authors&gt;&lt;author&gt;Kani, Kian&lt;/author&gt;&lt;author&gt;Malihi, Paymaneh D&lt;/author&gt;&lt;author&gt;Jiang, Yuqiu&lt;/author&gt;&lt;author&gt;Wang, Haiying&lt;/author&gt;&lt;author&gt;Wang, Yixin&lt;/author&gt;&lt;author&gt;Ruderman, Daniel L&lt;/author&gt;&lt;author&gt;Agus, David B&lt;/author&gt;&lt;author&gt;Mallick, Parag&lt;/author&gt;&lt;author&gt;Gross, Mitchell E&lt;/author&gt;&lt;/authors&gt;&lt;/contributors&gt;&lt;titles&gt;&lt;title&gt;Anterior gradient 2 (AGR2): Blood</w:instrText>
      </w:r>
      <w:r w:rsidR="00EF7152">
        <w:rPr>
          <w:rFonts w:ascii="Cambria Math" w:hAnsi="Cambria Math" w:cs="Cambria Math"/>
        </w:rPr>
        <w:instrText>‐</w:instrText>
      </w:r>
      <w:r w:rsidR="00EF7152">
        <w:instrText>based biomarker elevated in metastatic prostate cancer associated with the neuroendocrine phenotype&lt;/title&gt;&lt;secondary-title&gt;The Prostate&lt;/secondary-title&gt;&lt;/titles&gt;&lt;periodical&gt;&lt;full-title&gt;The Prostate&lt;/full-title&gt;&lt;/periodical&gt;&lt;pages&gt;306-315&lt;/pages&gt;&lt;volume&gt;73&lt;/volume&gt;&lt;number&gt;3&lt;/number&gt;&lt;dates&gt;&lt;year&gt;2013&lt;/year&gt;&lt;/dates&gt;&lt;isbn&gt;1097-0045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[3]</w:t>
      </w:r>
      <w:r w:rsidR="006F5F49" w:rsidRPr="00624952">
        <w:fldChar w:fldCharType="end"/>
      </w:r>
      <w:r w:rsidR="00AC2A15" w:rsidRPr="00624952">
        <w:t xml:space="preserve"> and breast cancer </w:t>
      </w:r>
      <w:r w:rsidR="006F5F49" w:rsidRPr="00624952">
        <w:fldChar w:fldCharType="begin"/>
      </w:r>
      <w:r w:rsidR="00EF7152">
        <w:instrText xml:space="preserve"> ADDIN EN.CITE &lt;EndNote&gt;&lt;Cite&gt;&lt;Author&gt;Fritzsche&lt;/Author&gt;&lt;Year&gt;2006&lt;/Year&gt;&lt;RecNum&gt;151&lt;/RecNum&gt;&lt;DisplayText&gt;[4]&lt;/DisplayText&gt;&lt;record&gt;&lt;rec-number&gt;151&lt;/rec-number&gt;&lt;foreign-keys&gt;&lt;key app="EN" db-id="de2xv2xvcrztxfexexkpzfznzsaersvvfe02" timestamp="1476143256"&gt;151&lt;/key&gt;&lt;/foreign-keys&gt;&lt;ref-type name="Journal Article"&gt;17&lt;/ref-type&gt;&lt;contributors&gt;&lt;authors&gt;&lt;author&gt;Fritzsche, Florian Rudolf&lt;/author&gt;&lt;author&gt;Dahl, Edgar&lt;/author&gt;&lt;author&gt;Pahl, Stefan&lt;/author&gt;&lt;author&gt;Burkhardt, Mick&lt;/author&gt;&lt;author&gt;Luo, Jun&lt;/author&gt;&lt;author&gt;Mayordomo, Empar&lt;/author&gt;&lt;author&gt;Gansukh, Tserenchunt&lt;/author&gt;&lt;author&gt;Dankof, Anja&lt;/author&gt;&lt;author&gt;Knuechel, Ruth&lt;/author&gt;&lt;author&gt;Denkert, Carsten&lt;/author&gt;&lt;/authors&gt;&lt;/contributors&gt;&lt;titles&gt;&lt;title&gt;Prognostic relevance of AGR2 expression in breast cancer&lt;/title&gt;&lt;secondary-title&gt;Clinical Cancer Research&lt;/secondary-title&gt;&lt;/titles&gt;&lt;periodical&gt;&lt;full-title&gt;Clinical Cancer Research&lt;/full-title&gt;&lt;/periodical&gt;&lt;pages&gt;1728-1734&lt;/pages&gt;&lt;volume&gt;12&lt;/volume&gt;&lt;number&gt;6&lt;/number&gt;&lt;dates&gt;&lt;year&gt;2006&lt;/year&gt;&lt;/dates&gt;&lt;isbn&gt;1078-0432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[4]</w:t>
      </w:r>
      <w:r w:rsidR="006F5F49" w:rsidRPr="00624952">
        <w:fldChar w:fldCharType="end"/>
      </w:r>
      <w:r w:rsidR="00AC2A15" w:rsidRPr="00624952">
        <w:t xml:space="preserve">. Therefore, AGR2 could be used as a </w:t>
      </w:r>
      <w:r w:rsidR="002C1EAC">
        <w:t>bio</w:t>
      </w:r>
      <w:r w:rsidR="00AC2A15" w:rsidRPr="00AA43B9">
        <w:t>marker</w:t>
      </w:r>
      <w:r w:rsidR="00AC2A15" w:rsidRPr="00624952">
        <w:t xml:space="preserve"> and </w:t>
      </w:r>
      <w:r w:rsidR="00A76770">
        <w:t>therapeutic</w:t>
      </w:r>
      <w:r w:rsidR="00AC2A15" w:rsidRPr="00624952">
        <w:t xml:space="preserve"> target for cancer. </w:t>
      </w:r>
    </w:p>
    <w:p w14:paraId="6DB51C7D" w14:textId="77777777" w:rsidR="00D555C5" w:rsidRPr="00624952" w:rsidRDefault="00D555C5" w:rsidP="00EA7AD4"/>
    <w:p w14:paraId="5812D7CD" w14:textId="1B5A05CB" w:rsidR="00DF13C8" w:rsidRPr="00624952" w:rsidRDefault="00DF13C8" w:rsidP="00EA7AD4">
      <w:r w:rsidRPr="00624952">
        <w:t xml:space="preserve">In this work, we describe an experimental and computational pipeline to quantify cell migration. We demonstrate this pipeline by quantifying migration of MDA-MB-231 </w:t>
      </w:r>
      <w:r w:rsidR="009967D5" w:rsidRPr="00624952">
        <w:t xml:space="preserve">cells, </w:t>
      </w:r>
      <w:r w:rsidRPr="00624952">
        <w:t>a breast cancer cell line know</w:t>
      </w:r>
      <w:r w:rsidR="00B709CC" w:rsidRPr="00624952">
        <w:t>n</w:t>
      </w:r>
      <w:r w:rsidR="009967D5" w:rsidRPr="00624952">
        <w:t xml:space="preserve"> to migrate </w:t>
      </w:r>
      <w:r w:rsidR="000340E6">
        <w:t xml:space="preserve">aggressively </w:t>
      </w:r>
      <w:r w:rsidR="006F5F49" w:rsidRPr="00624952">
        <w:fldChar w:fldCharType="begin"/>
      </w:r>
      <w:r w:rsidR="00EF7152">
        <w:instrText xml:space="preserve"> ADDIN EN.CITE &lt;EndNote&gt;&lt;Cite&gt;&lt;Author&gt;Price&lt;/Author&gt;&lt;Year&gt;1999&lt;/Year&gt;&lt;RecNum&gt;152&lt;/RecNum&gt;&lt;DisplayText&gt;[5]&lt;/DisplayText&gt;&lt;record&gt;&lt;rec-number&gt;152&lt;/rec-number&gt;&lt;foreign-keys&gt;&lt;key app="EN" db-id="de2xv2xvcrztxfexexkpzfznzsaersvvfe02" timestamp="1476143847"&gt;152&lt;/key&gt;&lt;/foreign-keys&gt;&lt;ref-type name="Journal Article"&gt;17&lt;/ref-type&gt;&lt;contributors&gt;&lt;authors&gt;&lt;author&gt;Price, John T&lt;/author&gt;&lt;author&gt;Tiganis, Tony&lt;/author&gt;&lt;author&gt;Agarwal, Anurag&lt;/author&gt;&lt;author&gt;Djakiew, Daniel&lt;/author&gt;&lt;author&gt;Thompson, Erik W&lt;/author&gt;&lt;/authors&gt;&lt;/contributors&gt;&lt;titles&gt;&lt;title&gt;Epidermal growth factor promotes MDA-MB-231 breast cancer cell migration through a phosphatidylinositol 3′-kinase and phospholipase C-dependent mechanism&lt;/title&gt;&lt;secondary-title&gt;Cancer research&lt;/secondary-title&gt;&lt;/titles&gt;&lt;periodical&gt;&lt;full-title&gt;Cancer research&lt;/full-title&gt;&lt;/periodical&gt;&lt;pages&gt;5475-5478&lt;/pages&gt;&lt;volume&gt;59&lt;/volume&gt;&lt;number&gt;21&lt;/number&gt;&lt;dates&gt;&lt;year&gt;1999&lt;/year&gt;&lt;/dates&gt;&lt;isbn&gt;0008-5472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[5]</w:t>
      </w:r>
      <w:r w:rsidR="006F5F49" w:rsidRPr="00624952">
        <w:fldChar w:fldCharType="end"/>
      </w:r>
      <w:r w:rsidRPr="00624952">
        <w:t xml:space="preserve">. </w:t>
      </w:r>
      <w:r w:rsidR="000340E6">
        <w:t xml:space="preserve"> </w:t>
      </w:r>
      <w:r w:rsidRPr="00624952">
        <w:t xml:space="preserve">We show that blocking the secreted AGR2 </w:t>
      </w:r>
      <w:r w:rsidR="00537068">
        <w:t>(sAGR2)</w:t>
      </w:r>
      <w:r w:rsidR="008E6838">
        <w:t xml:space="preserve"> with an antibody that binds specifically to AGR2 (referred to as AGR2-Ab)</w:t>
      </w:r>
      <w:r w:rsidR="00537068">
        <w:t xml:space="preserve"> in cell</w:t>
      </w:r>
      <w:r w:rsidRPr="00624952">
        <w:t xml:space="preserve"> medi</w:t>
      </w:r>
      <w:r w:rsidR="00AE37B8">
        <w:t>um</w:t>
      </w:r>
      <w:r w:rsidRPr="00624952">
        <w:t xml:space="preserve"> prevents the migration of the MDA-MB-231 cells.</w:t>
      </w:r>
      <w:r w:rsidR="00735859" w:rsidRPr="00624952">
        <w:t xml:space="preserve"> Our pipeline aids in the verification of well-established hypotheses and it can be used to test new hypotheses, thus, aiding in and accelerating the drug discovery process.</w:t>
      </w:r>
    </w:p>
    <w:p w14:paraId="6CC50936" w14:textId="63D49610" w:rsidR="001F63D6" w:rsidRDefault="001F63D6" w:rsidP="00EA7AD4">
      <w:pPr>
        <w:pStyle w:val="Heading1"/>
      </w:pPr>
    </w:p>
    <w:p w14:paraId="6D8DD554" w14:textId="77777777" w:rsidR="00BB7423" w:rsidRPr="00BB7423" w:rsidRDefault="00BB7423" w:rsidP="00BB7423"/>
    <w:p w14:paraId="5DFF4EE2" w14:textId="77777777" w:rsidR="00DF13C8" w:rsidRPr="00624952" w:rsidRDefault="00DF13C8" w:rsidP="00EA7AD4">
      <w:pPr>
        <w:pStyle w:val="Heading1"/>
      </w:pPr>
      <w:r w:rsidRPr="00624952">
        <w:t>Methods</w:t>
      </w:r>
    </w:p>
    <w:p w14:paraId="26820E18" w14:textId="77777777" w:rsidR="00D555C5" w:rsidRPr="00624952" w:rsidRDefault="00D555C5" w:rsidP="00EA7AD4"/>
    <w:p w14:paraId="666367F6" w14:textId="6F874928" w:rsidR="00DF13C8" w:rsidRPr="00624952" w:rsidRDefault="00DF13C8" w:rsidP="00EA7AD4">
      <w:r w:rsidRPr="00624952">
        <w:rPr>
          <w:b/>
        </w:rPr>
        <w:t>Cell migration assay:</w:t>
      </w:r>
      <w:r w:rsidRPr="00624952">
        <w:t xml:space="preserve"> </w:t>
      </w:r>
      <w:r w:rsidR="000340E6">
        <w:t xml:space="preserve"> The </w:t>
      </w:r>
      <w:r w:rsidR="000340E6" w:rsidRPr="000340E6">
        <w:t xml:space="preserve">Oris™ </w:t>
      </w:r>
      <w:r w:rsidR="000340E6">
        <w:t xml:space="preserve">migration </w:t>
      </w:r>
      <w:r w:rsidR="000340E6" w:rsidRPr="000340E6">
        <w:t xml:space="preserve">assay use </w:t>
      </w:r>
      <w:r w:rsidR="000340E6">
        <w:t xml:space="preserve">a </w:t>
      </w:r>
      <w:r w:rsidR="000340E6" w:rsidRPr="000340E6">
        <w:t xml:space="preserve">physical barrier </w:t>
      </w:r>
      <w:r w:rsidR="000340E6">
        <w:t xml:space="preserve">“stopper” </w:t>
      </w:r>
      <w:r w:rsidR="000340E6" w:rsidRPr="000340E6">
        <w:t xml:space="preserve">to create a </w:t>
      </w:r>
      <w:r w:rsidR="000340E6">
        <w:t xml:space="preserve">defined circular region that is intended prevent cell adhesion at the start of the assay.  This </w:t>
      </w:r>
      <w:r w:rsidR="000340E6" w:rsidRPr="000340E6">
        <w:t>central cell-free detection zone i</w:t>
      </w:r>
      <w:r w:rsidR="000340E6">
        <w:t>s in</w:t>
      </w:r>
      <w:r w:rsidR="000340E6" w:rsidRPr="000340E6">
        <w:t xml:space="preserve"> the center of each well of a 96-well plate. </w:t>
      </w:r>
      <w:r w:rsidR="000340E6">
        <w:t xml:space="preserve">  As the cells migrate to the cell-free zone over 24-48 hours, real-time assessment of migratory cells allows acquisition of </w:t>
      </w:r>
      <w:r w:rsidR="000340E6" w:rsidRPr="000340E6">
        <w:t>richer data sets.</w:t>
      </w:r>
      <w:r w:rsidR="000340E6">
        <w:t xml:space="preserve">  Since there are no artificial membranes or inserts in the light path through which cells must pass, this assa</w:t>
      </w:r>
      <w:r w:rsidR="00306DF8">
        <w:t>y is amenable to quantification with microscopy.</w:t>
      </w:r>
      <w:r w:rsidR="00BB7423">
        <w:t xml:space="preserve"> </w:t>
      </w:r>
      <w:r w:rsidRPr="00AA43B9">
        <w:t>We use</w:t>
      </w:r>
      <w:r w:rsidR="00306DF8">
        <w:t>d</w:t>
      </w:r>
      <w:r w:rsidRPr="00624952">
        <w:t xml:space="preserve"> the Oris cell migration assay from Platypus Technologies to create migration regions by inserting stoppers in e</w:t>
      </w:r>
      <w:r w:rsidR="00BB7423">
        <w:t xml:space="preserve">ach of the 96 wells on a plate. </w:t>
      </w:r>
      <w:r w:rsidRPr="00624952">
        <w:t xml:space="preserve">Shortly after inserting the stoppers, we </w:t>
      </w:r>
      <w:r w:rsidRPr="00AA43B9">
        <w:t>seed</w:t>
      </w:r>
      <w:r w:rsidR="00306DF8">
        <w:t>ed</w:t>
      </w:r>
      <w:r w:rsidRPr="00624952">
        <w:t xml:space="preserve"> MDA-MB-231 cells and </w:t>
      </w:r>
      <w:r w:rsidRPr="00AA43B9">
        <w:t>wait</w:t>
      </w:r>
      <w:r w:rsidR="00306DF8">
        <w:t>ed</w:t>
      </w:r>
      <w:r w:rsidRPr="00624952">
        <w:t xml:space="preserve"> until they </w:t>
      </w:r>
      <w:r w:rsidR="00306DF8">
        <w:t xml:space="preserve">reached </w:t>
      </w:r>
      <w:r w:rsidRPr="00624952">
        <w:t>80% confluent</w:t>
      </w:r>
      <w:r w:rsidR="00E37EF8" w:rsidRPr="00624952">
        <w:t xml:space="preserve"> (approximately </w:t>
      </w:r>
      <w:r w:rsidR="00537068">
        <w:t>24</w:t>
      </w:r>
      <w:r w:rsidR="00E37EF8" w:rsidRPr="00624952">
        <w:rPr>
          <w:i/>
        </w:rPr>
        <w:t xml:space="preserve"> </w:t>
      </w:r>
      <w:r w:rsidR="00E37EF8" w:rsidRPr="00624952">
        <w:t>hours)</w:t>
      </w:r>
      <w:r w:rsidRPr="00624952">
        <w:t xml:space="preserve">. Next we </w:t>
      </w:r>
      <w:r w:rsidRPr="00AA43B9">
        <w:t>remove</w:t>
      </w:r>
      <w:r w:rsidR="00306DF8">
        <w:t>d</w:t>
      </w:r>
      <w:r w:rsidRPr="00624952">
        <w:t xml:space="preserve"> the stoppers and </w:t>
      </w:r>
      <w:r w:rsidRPr="00AA43B9">
        <w:t>allow</w:t>
      </w:r>
      <w:r w:rsidR="00306DF8">
        <w:t>ed</w:t>
      </w:r>
      <w:r w:rsidRPr="00624952">
        <w:t xml:space="preserve"> the cells to move into the migration region. 4</w:t>
      </w:r>
      <w:r w:rsidR="00537068">
        <w:t>8</w:t>
      </w:r>
      <w:r w:rsidRPr="00624952">
        <w:t xml:space="preserve"> hours after removal of the stoppers</w:t>
      </w:r>
      <w:r w:rsidR="00306DF8">
        <w:t>,</w:t>
      </w:r>
      <w:r w:rsidRPr="00624952">
        <w:t xml:space="preserve"> we </w:t>
      </w:r>
      <w:r w:rsidRPr="00AA43B9">
        <w:t>image</w:t>
      </w:r>
      <w:r w:rsidR="00306DF8">
        <w:t>d</w:t>
      </w:r>
      <w:r w:rsidRPr="00624952">
        <w:t xml:space="preserve"> each well using a fluorescence microscope.</w:t>
      </w:r>
    </w:p>
    <w:p w14:paraId="0E983FE2" w14:textId="77777777" w:rsidR="00DF13C8" w:rsidRPr="00624952" w:rsidRDefault="00DF13C8" w:rsidP="00EA7AD4"/>
    <w:p w14:paraId="1F083ED6" w14:textId="0E3253FA" w:rsidR="00BB7423" w:rsidRDefault="00DF13C8" w:rsidP="00EA7AD4">
      <w:r w:rsidRPr="00624952">
        <w:rPr>
          <w:b/>
        </w:rPr>
        <w:t>Automatic selection of migration region:</w:t>
      </w:r>
      <w:r w:rsidRPr="00624952">
        <w:t xml:space="preserve"> We first </w:t>
      </w:r>
      <w:r w:rsidRPr="00AA43B9">
        <w:t>create</w:t>
      </w:r>
      <w:r w:rsidR="00306DF8">
        <w:t>d</w:t>
      </w:r>
      <w:r w:rsidRPr="00624952">
        <w:t xml:space="preserve"> a mask</w:t>
      </w:r>
      <w:r w:rsidRPr="00AA43B9">
        <w:t xml:space="preserve"> </w:t>
      </w:r>
      <w:r w:rsidR="00306DF8">
        <w:t>corresponding to the</w:t>
      </w:r>
      <w:r w:rsidRPr="00624952">
        <w:t xml:space="preserve"> area covered by cells using standard deviation filtering and applying a series of morphological operations in Matlab</w:t>
      </w:r>
      <w:r w:rsidR="004642CB">
        <w:t xml:space="preserve"> R2016a</w:t>
      </w:r>
      <w:r w:rsidR="000A41E2" w:rsidRPr="00624952">
        <w:t xml:space="preserve"> </w:t>
      </w:r>
      <w:r w:rsidR="00E02734" w:rsidRPr="00624952">
        <w:t>(Math</w:t>
      </w:r>
      <w:r w:rsidR="004642CB">
        <w:t>W</w:t>
      </w:r>
      <w:r w:rsidR="00E02734" w:rsidRPr="00624952">
        <w:t>orks)</w:t>
      </w:r>
      <w:r w:rsidR="00355E1E" w:rsidRPr="00624952">
        <w:t xml:space="preserve"> </w:t>
      </w:r>
      <w:r w:rsidR="000A41E2" w:rsidRPr="00624952">
        <w:t>as shown in figure 1</w:t>
      </w:r>
      <w:r w:rsidR="00D07A59">
        <w:t>.</w:t>
      </w:r>
    </w:p>
    <w:p w14:paraId="23B055D1" w14:textId="3BCC6441" w:rsidR="00BB7423" w:rsidRPr="00624952" w:rsidRDefault="00BB7423" w:rsidP="00EA7AD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0FACF64" wp14:editId="795D2025">
                <wp:simplePos x="0" y="0"/>
                <wp:positionH relativeFrom="margin">
                  <wp:posOffset>-10795</wp:posOffset>
                </wp:positionH>
                <wp:positionV relativeFrom="paragraph">
                  <wp:posOffset>201031</wp:posOffset>
                </wp:positionV>
                <wp:extent cx="5939155" cy="3172460"/>
                <wp:effectExtent l="0" t="0" r="23495" b="27940"/>
                <wp:wrapTopAndBottom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155" cy="317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DCFCF" w14:textId="77777777" w:rsidR="00214455" w:rsidRDefault="00214455" w:rsidP="00EA7AD4">
                            <w:r w:rsidRPr="00204FED">
                              <w:rPr>
                                <w:noProof/>
                              </w:rPr>
                              <w:drawing>
                                <wp:inline distT="0" distB="0" distL="0" distR="0" wp14:anchorId="5BB91D76" wp14:editId="67AC21AA">
                                  <wp:extent cx="5756910" cy="232981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56910" cy="2329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A9F8DC" w14:textId="77777777" w:rsidR="00214455" w:rsidRDefault="00214455" w:rsidP="00EA7AD4"/>
                          <w:p w14:paraId="51BD06C2" w14:textId="01794299" w:rsidR="00214455" w:rsidRPr="00180A5F" w:rsidRDefault="00214455" w:rsidP="00EA7AD4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1 – Sample images immediately after the stopper was removed. </w:t>
                            </w:r>
                            <w:r w:rsidRPr="00204FED">
                              <w:t xml:space="preserve">In </w:t>
                            </w:r>
                            <w:r>
                              <w:t>order to identify the migration region, we took images of each well (left), then we select a mask that covers the area utilized by cells, highlighted in green (right).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ACF64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.85pt;margin-top:15.85pt;width:467.65pt;height:249.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" fillcolor="white [3201]" strokeweight=".5pt">
                <v:path arrowok="t"/>
                <v:textbox>
                  <w:txbxContent>
                    <w:p w14:paraId="34CDCFCF" w14:textId="77777777" w:rsidR="00214455" w:rsidRDefault="00214455" w:rsidP="00EA7AD4">
                      <w:r w:rsidRPr="00204FED">
                        <w:rPr>
                          <w:noProof/>
                        </w:rPr>
                        <w:drawing>
                          <wp:inline distT="0" distB="0" distL="0" distR="0" wp14:anchorId="5BB91D76" wp14:editId="67AC21AA">
                            <wp:extent cx="5756910" cy="232981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56910" cy="2329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A9F8DC" w14:textId="77777777" w:rsidR="00214455" w:rsidRDefault="00214455" w:rsidP="00EA7AD4"/>
                    <w:p w14:paraId="51BD06C2" w14:textId="01794299" w:rsidR="00214455" w:rsidRPr="00180A5F" w:rsidRDefault="00214455" w:rsidP="00EA7AD4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1 – Sample images immediately after the stopper was removed. </w:t>
                      </w:r>
                      <w:r w:rsidRPr="00204FED">
                        <w:t xml:space="preserve">In </w:t>
                      </w:r>
                      <w:r>
                        <w:t>order to identify the migration region, we took images of each well (left), then we select a mask that covers the area utilized by cells, highlighted in green (right).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9A5EEF" w14:textId="5427EDA9" w:rsidR="000A41E2" w:rsidRPr="00624952" w:rsidRDefault="00634989" w:rsidP="00EA7AD4">
      <w:r w:rsidRPr="00624952">
        <w:t xml:space="preserve"> </w:t>
      </w:r>
    </w:p>
    <w:p w14:paraId="417368FE" w14:textId="5E5E544A" w:rsidR="009C6ADE" w:rsidRDefault="009C6ADE" w:rsidP="00EA7AD4">
      <w:r>
        <w:t xml:space="preserve">Note that these images are black and white (green is used throughout to highlight software outputs), hence every pixel’s value belongs to the interval </w:t>
      </w:r>
      <w:r w:rsidRPr="00624952">
        <w:t xml:space="preserve">[0,1] where a </w:t>
      </w:r>
      <w:r>
        <w:t xml:space="preserve">completely </w:t>
      </w:r>
      <w:r w:rsidRPr="00624952">
        <w:t xml:space="preserve">black pixel has value 0 and a </w:t>
      </w:r>
      <w:r>
        <w:t xml:space="preserve">completely </w:t>
      </w:r>
      <w:r w:rsidRPr="00624952">
        <w:t xml:space="preserve">white </w:t>
      </w:r>
      <w:r>
        <w:t>pixel</w:t>
      </w:r>
      <w:r w:rsidRPr="00624952">
        <w:t xml:space="preserve"> has value 1</w:t>
      </w:r>
      <w:r>
        <w:t xml:space="preserve">. </w:t>
      </w:r>
      <w:r w:rsidR="00A1558D">
        <w:t xml:space="preserve"> Also note that a mask is a binary matrix that indicate which pixels belong to the mask (with value of 1</w:t>
      </w:r>
      <w:r w:rsidR="00B37C74">
        <w:t xml:space="preserve">, these pixels are referred to as </w:t>
      </w:r>
      <w:r w:rsidR="00BB7423">
        <w:t>“</w:t>
      </w:r>
      <w:r w:rsidR="00BE5BB0">
        <w:t>cell pixels</w:t>
      </w:r>
      <w:r w:rsidR="00BB7423">
        <w:t>”</w:t>
      </w:r>
      <w:r w:rsidR="00A1558D">
        <w:t>) and which pixels do not belong to the mask (with value 0).</w:t>
      </w:r>
    </w:p>
    <w:p w14:paraId="5E9028A3" w14:textId="77777777" w:rsidR="009C6ADE" w:rsidRDefault="009C6ADE" w:rsidP="00EA7AD4"/>
    <w:p w14:paraId="5A38CC17" w14:textId="325AA357" w:rsidR="006357EE" w:rsidRPr="00624952" w:rsidRDefault="00DF13C8" w:rsidP="00EA7AD4">
      <w:r w:rsidRPr="00624952">
        <w:t xml:space="preserve">We then </w:t>
      </w:r>
      <w:r w:rsidRPr="00AA43B9">
        <w:t>use</w:t>
      </w:r>
      <w:r w:rsidR="00306DF8">
        <w:t>d</w:t>
      </w:r>
      <w:r w:rsidRPr="00624952">
        <w:t xml:space="preserve"> a genetic algorithm to deter</w:t>
      </w:r>
      <w:r w:rsidR="00004A8B" w:rsidRPr="00624952">
        <w:t xml:space="preserve">mine </w:t>
      </w:r>
      <w:r w:rsidR="00CA5F71">
        <w:t>the coordinates of the center and the radius of a circle according</w:t>
      </w:r>
      <w:r w:rsidR="00BE74B3" w:rsidRPr="00624952">
        <w:t xml:space="preserve"> to equation </w:t>
      </w:r>
      <w:r w:rsidR="00004A8B" w:rsidRPr="00624952">
        <w:t>(</w:t>
      </w:r>
      <w:r w:rsidR="00BE74B3" w:rsidRPr="00624952">
        <w:t>1</w:t>
      </w:r>
      <w:r w:rsidR="00004A8B" w:rsidRPr="00624952">
        <w:t>)</w:t>
      </w:r>
      <w:r w:rsidRPr="00624952">
        <w:t xml:space="preserve">. This optimal circle </w:t>
      </w:r>
      <w:r w:rsidR="00CA5F71">
        <w:t>determines</w:t>
      </w:r>
      <w:r w:rsidRPr="00624952">
        <w:t xml:space="preserve"> the migration region</w:t>
      </w:r>
      <w:r w:rsidR="00CA5F71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5A600918" w14:textId="77777777" w:rsidTr="00EA7AD4">
        <w:tc>
          <w:tcPr>
            <w:tcW w:w="350" w:type="pct"/>
            <w:vAlign w:val="center"/>
          </w:tcPr>
          <w:p w14:paraId="588CA905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273D028E" w14:textId="6007484E" w:rsidR="006357EE" w:rsidRPr="00624952" w:rsidRDefault="005E55F3" w:rsidP="00EA7AD4">
            <w:pPr>
              <w:rPr>
                <w:rFonts w:eastAsiaTheme="minorEastAsia"/>
                <w:color w:val="333333"/>
                <w:sz w:val="21"/>
                <w:szCs w:val="21"/>
                <w:shd w:val="clear" w:color="auto" w:fill="FFFFFF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,r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#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14:paraId="6A97BDFA" w14:textId="2346683E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1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6ECCADAB" w14:textId="400E5589" w:rsidR="006357EE" w:rsidRPr="00624952" w:rsidRDefault="00D5618C" w:rsidP="00EA7AD4">
      <w:r w:rsidRPr="00624952">
        <w:t xml:space="preserve">where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</m:oMath>
      <w:r w:rsidR="00CA5F71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A5F71">
        <w:rPr>
          <w:rFonts w:eastAsiaTheme="minorEastAsia"/>
        </w:rPr>
        <w:t xml:space="preserve"> are the </w:t>
      </w:r>
      <w:r w:rsidR="00A1558D">
        <w:t>optimal parameters</w:t>
      </w:r>
      <w:r w:rsidR="00CA5F71">
        <w:t xml:space="preserve"> of the migration region</w:t>
      </w:r>
      <w:r w:rsidR="001C091A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3A5D40" w:rsidRPr="00624952">
        <w:t xml:space="preserve"> is the Matlab mask we are evaluating</w:t>
      </w:r>
      <w:r w:rsidR="005E55F3">
        <w:t xml:space="preserve"> (i.e., a circle with center at coordinates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5E55F3">
        <w:rPr>
          <w:rFonts w:eastAsiaTheme="minorEastAsia"/>
        </w:rPr>
        <w:t xml:space="preserve"> </w:t>
      </w:r>
      <w:r w:rsidR="00CA5F71">
        <w:rPr>
          <w:rFonts w:eastAsiaTheme="minorEastAsia"/>
        </w:rPr>
        <w:t>and radius</w:t>
      </w:r>
      <w:r w:rsidR="005E55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6B7582">
        <w:rPr>
          <w:rFonts w:eastAsiaTheme="minorEastAsia"/>
        </w:rPr>
        <w:t>),</w:t>
      </w:r>
      <w:r w:rsidR="001C091A">
        <w:t xml:space="preserve"> so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r>
              <w:rPr>
                <w:rFonts w:ascii="Cambria Math" w:hAnsi="Cambria Math"/>
              </w:rPr>
              <m:t xml:space="preserve"> ∈ 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</m:e>
        </m:nary>
      </m:oMath>
      <w:r w:rsidR="006B7582">
        <w:rPr>
          <w:rFonts w:eastAsiaTheme="minorEastAsia"/>
        </w:rPr>
        <w:t xml:space="preserve"> is the sum of all the pixel</w:t>
      </w:r>
      <w:r w:rsidR="005E55F3">
        <w:rPr>
          <w:rFonts w:eastAsiaTheme="minorEastAsia"/>
        </w:rPr>
        <w:t xml:space="preserve"> intens</w:t>
      </w:r>
      <w:r w:rsidR="006B7582">
        <w:rPr>
          <w:rFonts w:eastAsiaTheme="minorEastAsia"/>
        </w:rPr>
        <w:t>ities</w:t>
      </w:r>
      <w:r w:rsidR="00C53105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 w:rsidR="00C53105">
        <w:rPr>
          <w:rFonts w:eastAsiaTheme="minorEastAsia"/>
        </w:rPr>
        <w:t>)</w:t>
      </w:r>
      <w:r w:rsidR="006B7582">
        <w:rPr>
          <w:rFonts w:eastAsiaTheme="minorEastAsia"/>
        </w:rPr>
        <w:t xml:space="preserve"> which belong to the mask</w:t>
      </w:r>
      <w:r w:rsidR="00C53105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#</m:t>
        </m:r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is th</w:t>
      </w:r>
      <w:r w:rsidR="006B7582">
        <w:t xml:space="preserve">e cardinality of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(</w:t>
      </w:r>
      <w:r w:rsidR="006B7582">
        <w:rPr>
          <w:rFonts w:eastAsiaTheme="minorEastAsia"/>
        </w:rPr>
        <w:t xml:space="preserve">i.e., the number of </w:t>
      </w:r>
      <w:r w:rsidR="00D07A59">
        <w:rPr>
          <w:rFonts w:eastAsiaTheme="minorEastAsia"/>
        </w:rPr>
        <w:t xml:space="preserve">pixels </w:t>
      </w:r>
      <w:r w:rsidR="006321C0">
        <w:rPr>
          <w:rFonts w:eastAsiaTheme="minorEastAsia"/>
        </w:rPr>
        <w:t>which belong</w:t>
      </w:r>
      <w:r w:rsidR="006320AD">
        <w:rPr>
          <w:rFonts w:eastAsiaTheme="minorEastAsia"/>
        </w:rPr>
        <w:t xml:space="preserve"> to</w:t>
      </w:r>
      <w:r w:rsidR="006B758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 w:rsidRPr="006B7582">
        <w:rPr>
          <w:rFonts w:eastAsiaTheme="minorEastAsia"/>
        </w:rPr>
        <w:t>)</w:t>
      </w:r>
      <w:r w:rsidR="006B7582">
        <w:rPr>
          <w:rFonts w:eastAsiaTheme="minorEastAsia"/>
        </w:rPr>
        <w:t>,</w:t>
      </w:r>
      <w:r w:rsidR="00227B7B" w:rsidRPr="00624952">
        <w:t xml:space="preserve"> and </w:t>
      </w:r>
      <m:oMath>
        <m:r>
          <w:rPr>
            <w:rFonts w:ascii="Cambria Math" w:hAnsi="Cambria Math"/>
          </w:rPr>
          <m:t>p</m:t>
        </m:r>
      </m:oMath>
      <w:r w:rsidR="00AA43B9" w:rsidRPr="00624952">
        <w:t xml:space="preserve"> is a penalty parameter</w:t>
      </w:r>
      <w:r w:rsidR="007777D0" w:rsidRPr="00624952">
        <w:t xml:space="preserve">. </w:t>
      </w:r>
      <w:r w:rsidR="00BC60C1" w:rsidRPr="00624952">
        <w:t xml:space="preserve">If </w:t>
      </w:r>
      <m:oMath>
        <m:r>
          <w:rPr>
            <w:rFonts w:ascii="Cambria Math" w:hAnsi="Cambria Math"/>
          </w:rPr>
          <m:t>p=1</m:t>
        </m:r>
      </m:oMath>
      <w:r w:rsidR="00DC19F4" w:rsidRPr="00624952">
        <w:t>, we have: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22D6FFBA" w14:textId="77777777" w:rsidTr="00EA7AD4">
        <w:tc>
          <w:tcPr>
            <w:tcW w:w="350" w:type="pct"/>
            <w:vAlign w:val="center"/>
          </w:tcPr>
          <w:p w14:paraId="3D2F6ED5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5FBBC901" w14:textId="6C519758" w:rsidR="006357EE" w:rsidRPr="00624952" w:rsidRDefault="006B7582" w:rsidP="00EA7AD4">
            <m:oMathPara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#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func>
              </m:oMath>
            </m:oMathPara>
          </w:p>
        </w:tc>
        <w:tc>
          <w:tcPr>
            <w:tcW w:w="350" w:type="pct"/>
            <w:vAlign w:val="center"/>
          </w:tcPr>
          <w:p w14:paraId="421B0D38" w14:textId="6300A5DB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2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57867B50" w14:textId="497B27B7" w:rsidR="00180A5F" w:rsidRPr="00624952" w:rsidRDefault="00975D1D" w:rsidP="00EA7AD4">
      <w:r>
        <w:rPr>
          <w:noProof/>
        </w:rPr>
        <w:pict w14:anchorId="12715075">
          <v:shape id="Text Box 12" o:spid="_x0000_s1031" type="#_x0000_t202" style="position:absolute;margin-left:0;margin-top:83.5pt;width:467.65pt;height:249.2pt;z-index:-251635712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" fillcolor="white [3201]" strokeweight=".5pt">
            <v:textbox style="mso-next-textbox:#Text Box 12">
              <w:txbxContent>
                <w:p w14:paraId="202861A3" w14:textId="77777777" w:rsidR="00214455" w:rsidRDefault="00214455" w:rsidP="00D375C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3F7542" wp14:editId="55822856">
                        <wp:extent cx="3143456" cy="2353586"/>
                        <wp:effectExtent l="0" t="0" r="0" b="8890"/>
                        <wp:docPr id="6" name="Picture 6" descr="C:\Users\EdwinFrancisco\AppData\Local\Microsoft\Windows\INetCacheContent.Word\OptimalCircl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EdwinFrancisco\AppData\Local\Microsoft\Windows\INetCacheContent.Word\OptimalCircl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65092" cy="2444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6687B" w14:textId="77777777" w:rsidR="00214455" w:rsidRDefault="00214455" w:rsidP="00D375C0"/>
                <w:p w14:paraId="6A530E59" w14:textId="48B4ACB2" w:rsidR="00214455" w:rsidRPr="00180A5F" w:rsidRDefault="00214455" w:rsidP="00D375C0">
                  <w:pPr>
                    <w:rPr>
                      <w:b/>
                    </w:rPr>
                  </w:pPr>
                  <w:r w:rsidRPr="00204FED">
                    <w:rPr>
                      <w:b/>
                    </w:rPr>
                    <w:t xml:space="preserve">Figure </w:t>
                  </w:r>
                  <w:r>
                    <w:rPr>
                      <w:b/>
                    </w:rPr>
                    <w:t>2</w:t>
                  </w:r>
                  <w:r w:rsidRPr="00204FED">
                    <w:rPr>
                      <w:b/>
                    </w:rPr>
                    <w:t xml:space="preserve"> – </w:t>
                  </w:r>
                  <w:r>
                    <w:rPr>
                      <w:b/>
                    </w:rPr>
                    <w:t>Automatically-selected migration region</w:t>
                  </w:r>
                  <w:r w:rsidRPr="00204FED">
                    <w:rPr>
                      <w:b/>
                    </w:rPr>
                    <w:t xml:space="preserve">. </w:t>
                  </w:r>
                  <w:r>
                    <w:t xml:space="preserve">The genetic algorithm selects </w:t>
                  </w:r>
                  <w:r w:rsidRPr="00A3426F">
                    <w:t xml:space="preserve">the largest circle which contains the least number of </w:t>
                  </w:r>
                  <w:r>
                    <w:t>masked</w:t>
                  </w:r>
                  <w:r w:rsidRPr="00A3426F">
                    <w:t xml:space="preserve"> pixels</w:t>
                  </w:r>
                  <w:r>
                    <w:t xml:space="preserve"> from the cell area mask. This optimal circle is the migration region.</w:t>
                  </w:r>
                </w:p>
              </w:txbxContent>
            </v:textbox>
            <w10:wrap type="topAndBottom" anchorx="margin"/>
          </v:shape>
        </w:pict>
      </w:r>
      <w:r w:rsidR="007777D0" w:rsidRPr="00624952">
        <w:t>Hence, the maximization problem from equation (1) is equivalent to the minimization represented in equation (2)</w:t>
      </w:r>
      <w:r w:rsidR="00004A8B" w:rsidRPr="00624952">
        <w:t xml:space="preserve"> (</w:t>
      </w:r>
      <w:r w:rsidR="00234FEE" w:rsidRPr="00624952">
        <w:t>when</w:t>
      </w:r>
      <w:r w:rsidR="00004A8B" w:rsidRPr="00624952">
        <w:t xml:space="preserve"> </w:t>
      </w:r>
      <m:oMath>
        <m:r>
          <w:rPr>
            <w:rFonts w:ascii="Cambria Math" w:hAnsi="Cambria Math"/>
          </w:rPr>
          <m:t>p=1</m:t>
        </m:r>
      </m:oMath>
      <w:r w:rsidR="00004A8B" w:rsidRPr="00624952">
        <w:t>)</w:t>
      </w:r>
      <w:r w:rsidR="007777D0" w:rsidRPr="00624952">
        <w:t xml:space="preserve">. </w:t>
      </w:r>
      <w:r w:rsidR="00AA43B9" w:rsidRPr="00624952">
        <w:t xml:space="preserve">From equation </w:t>
      </w:r>
      <w:r w:rsidR="0059071A" w:rsidRPr="00624952">
        <w:t>(</w:t>
      </w:r>
      <w:r w:rsidR="00AA43B9" w:rsidRPr="00624952">
        <w:t>2</w:t>
      </w:r>
      <w:r w:rsidR="0059071A" w:rsidRPr="00624952">
        <w:t>)</w:t>
      </w:r>
      <w:r w:rsidR="00AA43B9" w:rsidRPr="00624952">
        <w:t xml:space="preserve">, we </w:t>
      </w:r>
      <w:r w:rsidR="007777D0" w:rsidRPr="00624952">
        <w:t xml:space="preserve">can interpret the optimization performed by the genetic algorithm </w:t>
      </w:r>
      <w:r w:rsidR="007A3552" w:rsidRPr="00624952">
        <w:t xml:space="preserve">as finding </w:t>
      </w:r>
      <w:r w:rsidR="00004A8B" w:rsidRPr="00624952">
        <w:t xml:space="preserve">“the largest circle which contains the least number of </w:t>
      </w:r>
      <w:r w:rsidR="00B37C74">
        <w:t xml:space="preserve">cell </w:t>
      </w:r>
      <w:r w:rsidR="00D80518">
        <w:t>pixels</w:t>
      </w:r>
      <w:r w:rsidR="00004A8B" w:rsidRPr="00624952">
        <w:t xml:space="preserve">.” </w:t>
      </w:r>
      <w:r w:rsidR="00180A5F" w:rsidRPr="00624952">
        <w:t xml:space="preserve">Figure 2 shows the optimal circular region selected by the genetic algorithm when the input is the image from </w:t>
      </w:r>
      <w:r w:rsidR="00B346B2" w:rsidRPr="00624952">
        <w:t>f</w:t>
      </w:r>
      <w:r w:rsidR="00180A5F" w:rsidRPr="00624952">
        <w:t>igure 1.</w:t>
      </w:r>
    </w:p>
    <w:p w14:paraId="4AD2DD31" w14:textId="77777777" w:rsidR="006B7582" w:rsidRDefault="006B7582" w:rsidP="00EA7AD4">
      <w:pPr>
        <w:rPr>
          <w:b/>
        </w:rPr>
      </w:pPr>
    </w:p>
    <w:p w14:paraId="6847ED22" w14:textId="654B157A" w:rsidR="00DF13C8" w:rsidRPr="00624952" w:rsidRDefault="00DF13C8" w:rsidP="00EA7AD4">
      <w:r w:rsidRPr="00624952">
        <w:rPr>
          <w:b/>
        </w:rPr>
        <w:t>Percent of migration region covered by cells:</w:t>
      </w:r>
      <w:r w:rsidRPr="00624952">
        <w:t xml:space="preserve"> We define</w:t>
      </w:r>
      <w:r w:rsidR="00E26081">
        <w:t>d</w:t>
      </w:r>
      <w:r w:rsidRPr="00624952">
        <w:t xml:space="preserve"> a metric to quantify the migration of MDA-MB-231 cells. </w:t>
      </w:r>
      <w:r w:rsidR="00E26081">
        <w:t>This metric is</w:t>
      </w:r>
      <w:r w:rsidR="00004A8B" w:rsidRPr="00624952">
        <w:t xml:space="preserve"> </w:t>
      </w:r>
      <m:oMath>
        <m:r>
          <w:rPr>
            <w:rFonts w:ascii="Cambria Math" w:hAnsi="Cambria Math"/>
          </w:rPr>
          <m:t>Q</m:t>
        </m:r>
      </m:oMath>
      <w:r w:rsidR="00004A8B" w:rsidRPr="00624952">
        <w:t>,</w:t>
      </w:r>
      <w:r w:rsidR="00264517">
        <w:t xml:space="preserve"> </w:t>
      </w:r>
      <w:r w:rsidRPr="00624952">
        <w:t xml:space="preserve">the percentage of </w:t>
      </w:r>
      <w:r w:rsidR="00264517">
        <w:t>migr</w:t>
      </w:r>
      <w:r w:rsidR="001377BE">
        <w:t>ation</w:t>
      </w:r>
      <w:r w:rsidRPr="00624952">
        <w:t xml:space="preserve"> pixels inside the migration region. We define a </w:t>
      </w:r>
      <w:r w:rsidR="00264517">
        <w:t>migration</w:t>
      </w:r>
      <w:r w:rsidR="00264517" w:rsidRPr="00624952">
        <w:t xml:space="preserve"> </w:t>
      </w:r>
      <w:r w:rsidRPr="00624952">
        <w:t>pixel as any pixel whose intensity value is</w:t>
      </w:r>
      <w:r w:rsidR="00611E3F" w:rsidRPr="00624952">
        <w:t xml:space="preserve"> greater </w:t>
      </w:r>
      <w:r w:rsidR="00364711" w:rsidRPr="00624952">
        <w:t xml:space="preserve">than </w:t>
      </w:r>
      <w:r w:rsidR="00611E3F" w:rsidRPr="00624952">
        <w:t xml:space="preserve">or equal to a threshold </w:t>
      </w:r>
      <m:oMath>
        <m:r>
          <w:rPr>
            <w:rFonts w:ascii="Cambria Math" w:hAnsi="Cambria Math"/>
          </w:rPr>
          <m:t>T</m:t>
        </m:r>
      </m:oMath>
      <w:r w:rsidR="00264517">
        <w:rPr>
          <w:rFonts w:eastAsiaTheme="minorEastAsia"/>
        </w:rPr>
        <w:t xml:space="preserve">. We chose </w:t>
      </w:r>
      <m:oMath>
        <m:r>
          <w:rPr>
            <w:rFonts w:ascii="Cambria Math" w:hAnsi="Cambria Math"/>
          </w:rPr>
          <m:t>T</m:t>
        </m:r>
      </m:oMath>
      <w:r w:rsidR="00611E3F" w:rsidRPr="00624952">
        <w:rPr>
          <w:rFonts w:eastAsiaTheme="minorEastAsia"/>
        </w:rPr>
        <w:t xml:space="preserve"> </w:t>
      </w:r>
      <w:r w:rsidR="00264517">
        <w:rPr>
          <w:rFonts w:eastAsiaTheme="minorEastAsia"/>
        </w:rPr>
        <w:t>equal to</w:t>
      </w:r>
      <w:r w:rsidRPr="00624952">
        <w:t xml:space="preserve"> </w:t>
      </w:r>
      <w:r w:rsidR="00611E3F" w:rsidRPr="00624952">
        <w:t xml:space="preserve">1.25 times the </w:t>
      </w:r>
      <w:r w:rsidRPr="00624952">
        <w:t>median pixel intensity of the migration region immediately after the stopper was removed</w:t>
      </w:r>
      <w:r w:rsidR="007743FD" w:rsidRPr="00624952">
        <w:t xml:space="preserve"> (i.e., the green region in figure 2)</w:t>
      </w:r>
      <w:r w:rsidRPr="00624952">
        <w:t>.</w:t>
      </w:r>
      <w:r w:rsidR="008C3809" w:rsidRPr="00624952">
        <w:t xml:space="preserve"> This is: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0535ECD1" w14:textId="77777777" w:rsidTr="00EA7AD4">
        <w:tc>
          <w:tcPr>
            <w:tcW w:w="350" w:type="pct"/>
            <w:vAlign w:val="center"/>
          </w:tcPr>
          <w:p w14:paraId="6A4FED71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318135F0" w14:textId="51F509EA" w:rsidR="006357EE" w:rsidRPr="00264517" w:rsidRDefault="006357EE" w:rsidP="00EA7AD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{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≥ 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}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/#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14:paraId="44FEFCD2" w14:textId="0403C36C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3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00CAD051" w14:textId="7BE4BCD0" w:rsidR="00611E3F" w:rsidRPr="00264517" w:rsidRDefault="00264517" w:rsidP="00EA7AD4">
      <w:r>
        <w:rPr>
          <w:rFonts w:eastAsiaTheme="minorEastAsia"/>
          <w:color w:val="333333"/>
          <w:sz w:val="21"/>
          <w:szCs w:val="21"/>
          <w:shd w:val="clear" w:color="auto" w:fill="FFFFFF"/>
        </w:rPr>
        <w:t xml:space="preserve">Where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is the optimal circle defined by the three parameters</w:t>
      </w:r>
      <w:r w:rsidR="00E26081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[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]</m:t>
        </m:r>
      </m:oMath>
      <w:r>
        <w:rPr>
          <w:rFonts w:eastAsiaTheme="minorEastAsia"/>
        </w:rPr>
        <w:t xml:space="preserve"> from equations </w:t>
      </w:r>
      <w:r w:rsidR="00E26081">
        <w:rPr>
          <w:rFonts w:eastAsiaTheme="minorEastAsia"/>
        </w:rPr>
        <w:t xml:space="preserve">(1) and (2)) and the set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{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≥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}</m:t>
        </m:r>
      </m:oMath>
      <w:r w:rsidR="00E26081">
        <w:rPr>
          <w:rFonts w:eastAsiaTheme="minorEastAsia"/>
        </w:rPr>
        <w:t xml:space="preserve"> includes all of the pixels inside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E26081">
        <w:rPr>
          <w:rFonts w:eastAsiaTheme="minorEastAsia"/>
          <w:b/>
        </w:rPr>
        <w:t xml:space="preserve"> </w:t>
      </w:r>
      <w:r w:rsidR="00E26081" w:rsidRPr="00E26081">
        <w:rPr>
          <w:rFonts w:eastAsiaTheme="minorEastAsia"/>
        </w:rPr>
        <w:t xml:space="preserve">with </w:t>
      </w:r>
      <w:r w:rsidR="00E26081">
        <w:rPr>
          <w:rFonts w:eastAsiaTheme="minorEastAsia"/>
        </w:rPr>
        <w:t xml:space="preserve">intensities higher than </w:t>
      </w:r>
      <m:oMath>
        <m:r>
          <w:rPr>
            <w:rFonts w:ascii="Cambria Math" w:hAnsi="Cambria Math"/>
          </w:rPr>
          <m:t>T</m:t>
        </m:r>
      </m:oMath>
      <w:r w:rsidR="00E26081">
        <w:rPr>
          <w:rFonts w:eastAsiaTheme="minorEastAsia"/>
        </w:rPr>
        <w:t>.</w:t>
      </w:r>
    </w:p>
    <w:p w14:paraId="0FBC509F" w14:textId="77777777" w:rsidR="00264517" w:rsidRDefault="00264517" w:rsidP="00EA7AD4"/>
    <w:p w14:paraId="7FA6645A" w14:textId="77777777" w:rsidR="00DF13C8" w:rsidRPr="00624952" w:rsidRDefault="00B62A72" w:rsidP="00EA7AD4">
      <w:pPr>
        <w:pStyle w:val="Heading1"/>
      </w:pPr>
      <w:r w:rsidRPr="00624952">
        <w:lastRenderedPageBreak/>
        <w:t>Results</w:t>
      </w:r>
      <w:r w:rsidR="00DF13C8" w:rsidRPr="00624952">
        <w:t xml:space="preserve"> and Discussion</w:t>
      </w:r>
    </w:p>
    <w:p w14:paraId="2D64C1FD" w14:textId="77777777" w:rsidR="00D555C5" w:rsidRPr="00624952" w:rsidRDefault="00D555C5" w:rsidP="00EA7AD4"/>
    <w:p w14:paraId="0D72DE81" w14:textId="66DFDAF9" w:rsidR="00B27E97" w:rsidRDefault="00DF13C8" w:rsidP="00EA7AD4">
      <w:r w:rsidRPr="00624952">
        <w:t xml:space="preserve">To test the hypothesis that MDA-MB-231 cells’ migration is reduced in the absence of AGR2, we designed an experiment with 5 experimental conditions: </w:t>
      </w:r>
      <w:r w:rsidR="00364711" w:rsidRPr="00624952">
        <w:t xml:space="preserve">a </w:t>
      </w:r>
      <w:r w:rsidRPr="00624952">
        <w:t>positive control (untreated cells), a negative control (wells where the stopper was not removed), cells treated with 10nM of Taxol (a non-cytotoxic dose level which prevents cell migration</w:t>
      </w:r>
      <w:r w:rsidR="00FF5EEF" w:rsidRPr="00624952">
        <w:t xml:space="preserve"> </w:t>
      </w:r>
      <w:r w:rsidR="00306DF8">
        <w:t>but not cell death</w:t>
      </w:r>
      <w:r w:rsidR="00FF5EEF" w:rsidRPr="00AA43B9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&lt;EndNote&gt;&lt;Cite&gt;&lt;Author&gt;Zhang&lt;/Author&gt;&lt;Year&gt;2014&lt;/Year&gt;&lt;RecNum&gt;54&lt;/RecNum&gt;&lt;DisplayText&gt;[6]&lt;/DisplayText&gt;&lt;record&gt;&lt;rec-number&gt;54&lt;/rec-number&gt;&lt;foreign-keys&gt;&lt;key app="EN" db-id="axe9pdsewpz5wied2vkp2xtmv50fw59xa599" timestamp="1476246637"&gt;54&lt;/key&gt;&lt;/foreign-keys&gt;&lt;ref-type name="Journal Article"&gt;17&lt;/ref-type&gt;&lt;contributors&gt;&lt;authors&gt;&lt;author&gt;Zhang, Dongshan&lt;/author&gt;&lt;author&gt;Yang, Ruhao&lt;/author&gt;&lt;author&gt;Wang, Shixuan&lt;/author&gt;&lt;author&gt;Dong, Zheng&lt;/author&gt;&lt;/authors&gt;&lt;/contributors&gt;&lt;titles&gt;&lt;title&gt;Paclitaxel: new uses for an old drug&lt;/title&gt;&lt;secondary-title&gt;Drug design, development and therapy&lt;/secondary-title&gt;&lt;/titles&gt;&lt;periodical&gt;&lt;full-title&gt;Drug design, development and therapy&lt;/full-title&gt;&lt;/periodical&gt;&lt;pages&gt;279&lt;/pages&gt;&lt;volume&gt;8&lt;/volume&gt;&lt;dates&gt;&lt;year&gt;2014&lt;/year&gt;&lt;/dates&gt;&lt;urls&gt;&lt;/urls&gt;&lt;/record&gt;&lt;/Cite&gt;&lt;/EndNote&gt;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[6]</w:t>
      </w:r>
      <w:r w:rsidR="006F5F49" w:rsidRPr="00624952">
        <w:fldChar w:fldCharType="end"/>
      </w:r>
      <w:r w:rsidRPr="00624952">
        <w:t xml:space="preserve">), </w:t>
      </w:r>
      <w:r w:rsidR="000A41E2" w:rsidRPr="00624952">
        <w:t>cells treated with</w:t>
      </w:r>
      <w:r w:rsidR="002A23E3">
        <w:t xml:space="preserve"> a 1:50 dilution of</w:t>
      </w:r>
      <w:r w:rsidR="000A41E2" w:rsidRPr="00624952">
        <w:t xml:space="preserve"> </w:t>
      </w:r>
      <w:r w:rsidR="008E6838">
        <w:t>AGR2-ab</w:t>
      </w:r>
      <w:r w:rsidRPr="00624952">
        <w:t xml:space="preserve"> to inactivate </w:t>
      </w:r>
      <w:r w:rsidR="00537068">
        <w:t>s</w:t>
      </w:r>
      <w:r w:rsidR="000A41E2" w:rsidRPr="00624952">
        <w:t>AGR2</w:t>
      </w:r>
      <w:r w:rsidRPr="00624952">
        <w:t xml:space="preserve">, and </w:t>
      </w:r>
      <w:r w:rsidR="00A43F0E" w:rsidRPr="00624952">
        <w:t xml:space="preserve">with </w:t>
      </w:r>
      <w:r w:rsidR="002A23E3">
        <w:t>a 1:50 dilution of</w:t>
      </w:r>
      <w:r w:rsidR="00A43F0E" w:rsidRPr="00624952">
        <w:t xml:space="preserve"> </w:t>
      </w:r>
      <w:r w:rsidR="00371D09">
        <w:rPr>
          <w:rFonts w:ascii="Arial" w:hAnsi="Arial" w:cs="Arial"/>
          <w:color w:val="222222"/>
          <w:sz w:val="19"/>
          <w:szCs w:val="19"/>
          <w:shd w:val="clear" w:color="auto" w:fill="FFFFFF"/>
        </w:rPr>
        <w:t>IgG</w:t>
      </w:r>
      <w:r w:rsidR="002A23E3">
        <w:rPr>
          <w:rStyle w:val="apple-converted-space"/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, </w:t>
      </w:r>
      <w:r w:rsidRPr="00624952">
        <w:t xml:space="preserve">a control </w:t>
      </w:r>
      <w:r w:rsidR="001F591B">
        <w:t>antibody</w:t>
      </w:r>
      <w:r w:rsidRPr="00624952">
        <w:t xml:space="preserve"> </w:t>
      </w:r>
      <w:r w:rsidR="00371D09">
        <w:t xml:space="preserve">(Ctrl-Ab) </w:t>
      </w:r>
      <w:r w:rsidRPr="00624952">
        <w:t xml:space="preserve">which is </w:t>
      </w:r>
      <w:r w:rsidR="00371D09">
        <w:t>does not affect cell migration</w:t>
      </w:r>
      <w:r w:rsidRPr="00624952">
        <w:t xml:space="preserve">. </w:t>
      </w:r>
      <w:r w:rsidR="00EC3043" w:rsidRPr="00624952">
        <w:t>Representative</w:t>
      </w:r>
      <w:r w:rsidR="003A0ABE" w:rsidRPr="00624952">
        <w:t xml:space="preserve"> images from these conditions</w:t>
      </w:r>
      <w:r w:rsidR="00EC3043" w:rsidRPr="00624952">
        <w:t xml:space="preserve"> (i.e., replicate 3)</w:t>
      </w:r>
      <w:r w:rsidR="003A0ABE" w:rsidRPr="00624952">
        <w:t xml:space="preserve"> are shown in figure 3</w:t>
      </w:r>
      <w:r w:rsidR="00EC3043" w:rsidRPr="00624952">
        <w:t xml:space="preserve"> (top)</w:t>
      </w:r>
      <w:r w:rsidR="003A0ABE" w:rsidRPr="00624952">
        <w:t>.</w:t>
      </w:r>
    </w:p>
    <w:p w14:paraId="71717228" w14:textId="097B9FF3" w:rsidR="00E26081" w:rsidRPr="00624952" w:rsidRDefault="00975D1D" w:rsidP="00EA7AD4">
      <w:r>
        <w:rPr>
          <w:noProof/>
        </w:rPr>
        <w:pict w14:anchorId="068F9A75">
          <v:shape id="Text Box 19" o:spid="_x0000_s1032" type="#_x0000_t202" style="position:absolute;margin-left:-.65pt;margin-top:16.4pt;width:483.8pt;height:375.65pt;z-index:-25163366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" fillcolor="white [3201]" strokeweight=".5pt">
            <v:textbox style="mso-next-textbox:#Text Box 19">
              <w:txbxContent>
                <w:p w14:paraId="4E251C99" w14:textId="10FAC76C" w:rsidR="00214455" w:rsidRDefault="00214455" w:rsidP="00004A8B">
                  <w:pPr>
                    <w:jc w:val="center"/>
                    <w:rPr>
                      <w:noProof/>
                    </w:rPr>
                  </w:pPr>
                  <w:r w:rsidRPr="00CC41C4">
                    <w:rPr>
                      <w:noProof/>
                    </w:rPr>
                    <w:drawing>
                      <wp:inline distT="0" distB="0" distL="0" distR="0" wp14:anchorId="3A68ED2B" wp14:editId="510A3E09">
                        <wp:extent cx="4822190" cy="3940175"/>
                        <wp:effectExtent l="0" t="0" r="0" b="3175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22190" cy="3940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7E9E96" w14:textId="73584DF3" w:rsidR="00214455" w:rsidRDefault="00214455" w:rsidP="006B7582">
                  <w:r w:rsidRPr="00B426A6">
                    <w:rPr>
                      <w:b/>
                    </w:rPr>
                    <w:t>Figure 3 – Quantifying cell migration.</w:t>
                  </w:r>
                  <w:r>
                    <w:t xml:space="preserve"> Representative images (replicate 3) of each condition are shown (top). </w:t>
                  </w:r>
                  <w:r w:rsidRPr="00A3426F">
                    <w:t>10nM</w:t>
                  </w:r>
                  <w:r>
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</w:r>
                </w:p>
              </w:txbxContent>
            </v:textbox>
            <w10:wrap type="topAndBottom" anchorx="margin"/>
          </v:shape>
        </w:pict>
      </w:r>
    </w:p>
    <w:p w14:paraId="41FAE5EC" w14:textId="77777777" w:rsidR="006B7582" w:rsidRDefault="006B7582" w:rsidP="00EA7AD4"/>
    <w:p w14:paraId="37F45AE8" w14:textId="294D56C8" w:rsidR="00DF13C8" w:rsidRPr="00624952" w:rsidRDefault="00DF13C8" w:rsidP="00EA7AD4">
      <w:r w:rsidRPr="00624952">
        <w:t xml:space="preserve">For the untreated case and the control peptide we observe high levels of migration, with a </w:t>
      </w:r>
      <w:r w:rsidR="00D74D51">
        <w:t>45.96</w:t>
      </w:r>
      <w:r w:rsidRPr="00624952">
        <w:t>±1.</w:t>
      </w:r>
      <w:r w:rsidR="00D74D51">
        <w:t>99</w:t>
      </w:r>
      <w:r w:rsidRPr="00624952">
        <w:t xml:space="preserve"> (</w:t>
      </w:r>
      <w:r w:rsidR="00517C2E" w:rsidRPr="00624952">
        <w:t xml:space="preserve">mean ± </w:t>
      </w:r>
      <w:r w:rsidRPr="00624952">
        <w:t xml:space="preserve">standard error of the mean) percent of the migration region covered in the untreated case and </w:t>
      </w:r>
      <w:r w:rsidR="00D74D51">
        <w:t>42.44</w:t>
      </w:r>
      <w:r w:rsidRPr="00624952">
        <w:t>±</w:t>
      </w:r>
      <w:r w:rsidR="00D74D51">
        <w:t>1</w:t>
      </w:r>
      <w:r w:rsidRPr="00624952">
        <w:t>.</w:t>
      </w:r>
      <w:r w:rsidR="00D74D51">
        <w:t>66</w:t>
      </w:r>
      <w:r w:rsidRPr="00624952">
        <w:t xml:space="preserve"> percent of the migration region covered in the control </w:t>
      </w:r>
      <w:r w:rsidR="00D74D51">
        <w:t>antibody</w:t>
      </w:r>
      <w:r w:rsidR="003530EB">
        <w:t xml:space="preserve"> case</w:t>
      </w:r>
      <w:r w:rsidRPr="00624952">
        <w:t xml:space="preserve">. We fail to reject the null hypothesis that these two are the sample means from the same distribution (p value of </w:t>
      </w:r>
      <w:r w:rsidR="003530EB" w:rsidRPr="003530EB">
        <w:t>0.084</w:t>
      </w:r>
      <w:r w:rsidRPr="00624952">
        <w:t>). In</w:t>
      </w:r>
      <w:r w:rsidR="003530EB">
        <w:t xml:space="preserve"> the</w:t>
      </w:r>
      <w:r w:rsidRPr="00624952">
        <w:t xml:space="preserve"> Taxol case, </w:t>
      </w:r>
      <w:r w:rsidR="003530EB">
        <w:t>21</w:t>
      </w:r>
      <w:r w:rsidRPr="00624952">
        <w:t>.</w:t>
      </w:r>
      <w:r w:rsidR="003530EB">
        <w:t>07</w:t>
      </w:r>
      <w:r w:rsidRPr="00624952">
        <w:t>±</w:t>
      </w:r>
      <w:r w:rsidR="003530EB">
        <w:t>1.88</w:t>
      </w:r>
      <w:r w:rsidRPr="00624952">
        <w:t xml:space="preserve"> percent of the migration region is covered.</w:t>
      </w:r>
      <w:r w:rsidR="00517C2E" w:rsidRPr="00624952">
        <w:t xml:space="preserve"> We reject the null hypothesis that the mean of the Taxol population and the mean of the untreated case are sample means from the same distribution (p value of </w:t>
      </w:r>
      <w:r w:rsidR="003530EB">
        <w:t>8</w:t>
      </w:r>
      <w:r w:rsidR="00517C2E" w:rsidRPr="00624952">
        <w:t>.</w:t>
      </w:r>
      <w:r w:rsidR="003530EB">
        <w:t>16</w:t>
      </w:r>
      <w:r w:rsidR="00517C2E" w:rsidRPr="00624952">
        <w:t>e-</w:t>
      </w:r>
      <w:r w:rsidR="003530EB">
        <w:t>5</w:t>
      </w:r>
      <w:r w:rsidR="00517C2E" w:rsidRPr="00624952">
        <w:t xml:space="preserve">). </w:t>
      </w:r>
      <w:r w:rsidRPr="00624952">
        <w:t xml:space="preserve">Similarly, for the </w:t>
      </w:r>
      <w:r w:rsidR="003530EB">
        <w:t>AGR2-Ab</w:t>
      </w:r>
      <w:r w:rsidRPr="00624952">
        <w:t xml:space="preserve"> case, </w:t>
      </w:r>
      <w:r w:rsidR="000012FF">
        <w:t>13</w:t>
      </w:r>
      <w:r w:rsidRPr="00624952">
        <w:t>.</w:t>
      </w:r>
      <w:r w:rsidR="000012FF">
        <w:t>15</w:t>
      </w:r>
      <w:r w:rsidRPr="00624952">
        <w:t>±3.</w:t>
      </w:r>
      <w:r w:rsidR="000012FF">
        <w:t>18</w:t>
      </w:r>
      <w:r w:rsidRPr="00624952">
        <w:t xml:space="preserve"> percent of the migration region is covered. We reject the null hypothesis that the mean of the </w:t>
      </w:r>
      <w:r w:rsidR="000012FF">
        <w:t>AGR2-Ab</w:t>
      </w:r>
      <w:r w:rsidRPr="00624952">
        <w:t xml:space="preserve"> population </w:t>
      </w:r>
      <w:r w:rsidRPr="00624952">
        <w:lastRenderedPageBreak/>
        <w:t xml:space="preserve">and the mean of the untreated case are sample means from the same distribution (p value of </w:t>
      </w:r>
      <w:r w:rsidR="000012FF">
        <w:t>2</w:t>
      </w:r>
      <w:r w:rsidRPr="00624952">
        <w:t>.</w:t>
      </w:r>
      <w:r w:rsidR="000012FF">
        <w:t>1</w:t>
      </w:r>
      <w:r w:rsidRPr="00624952">
        <w:t>9e-</w:t>
      </w:r>
      <w:r w:rsidR="000012FF">
        <w:t>5</w:t>
      </w:r>
      <w:r w:rsidRPr="00624952">
        <w:t>). Not only we confirm the hypothesis that MDA-MB-231 cells’ migration is reduced in the absence of AGR2, but our method allows for reproducible quantification of qualitative observations.</w:t>
      </w:r>
      <w:r w:rsidR="00E26081">
        <w:t xml:space="preserve"> Furthermore</w:t>
      </w:r>
      <w:r w:rsidR="00BB7AD3">
        <w:t>,</w:t>
      </w:r>
      <w:r w:rsidR="00E26081">
        <w:t xml:space="preserve"> the </w:t>
      </w:r>
      <w:r w:rsidR="00BB7AD3">
        <w:t xml:space="preserve">algorithms used to compute </w:t>
      </w:r>
      <m:oMath>
        <m:r>
          <w:rPr>
            <w:rFonts w:ascii="Cambria Math" w:hAnsi="Cambria Math"/>
          </w:rPr>
          <m:t>Q</m:t>
        </m:r>
      </m:oMath>
      <w:r w:rsidR="00BB7AD3">
        <w:rPr>
          <w:rFonts w:eastAsiaTheme="minorEastAsia"/>
        </w:rPr>
        <w:t xml:space="preserve"> require a single input from the user (a string with the names of the control experiments) and it can run in a desktop machine with Matlab</w:t>
      </w:r>
      <w:r w:rsidR="00413708">
        <w:rPr>
          <w:rFonts w:eastAsiaTheme="minorEastAsia"/>
        </w:rPr>
        <w:t xml:space="preserve"> (R2015a and above)</w:t>
      </w:r>
      <w:r w:rsidR="00BB7AD3">
        <w:rPr>
          <w:rFonts w:eastAsiaTheme="minorEastAsia"/>
        </w:rPr>
        <w:t xml:space="preserve"> installed.</w:t>
      </w:r>
    </w:p>
    <w:p w14:paraId="34503945" w14:textId="77777777" w:rsidR="00D375C0" w:rsidRPr="00624952" w:rsidRDefault="00D375C0" w:rsidP="00EA7AD4">
      <w:pPr>
        <w:pStyle w:val="Heading1"/>
        <w:jc w:val="left"/>
      </w:pPr>
    </w:p>
    <w:p w14:paraId="04B1CE62" w14:textId="77777777" w:rsidR="00DF13C8" w:rsidRPr="00624952" w:rsidRDefault="00DF13C8" w:rsidP="00EA7AD4">
      <w:pPr>
        <w:pStyle w:val="Heading1"/>
      </w:pPr>
      <w:r w:rsidRPr="00624952">
        <w:t>Conclusion</w:t>
      </w:r>
      <w:r w:rsidR="00D555C5" w:rsidRPr="00624952">
        <w:t>s</w:t>
      </w:r>
    </w:p>
    <w:p w14:paraId="34472F90" w14:textId="77777777" w:rsidR="00D375C0" w:rsidRPr="00624952" w:rsidRDefault="00D375C0" w:rsidP="00EA7AD4"/>
    <w:p w14:paraId="29F8765D" w14:textId="77777777" w:rsidR="00214455" w:rsidRPr="00624952" w:rsidRDefault="00DB1D89" w:rsidP="00EA7AD4">
      <w:r w:rsidRPr="00624952">
        <w:t xml:space="preserve">We have designed and implemented a pipeline for quantifying cell migration </w:t>
      </w:r>
      <w:r w:rsidRPr="00624952">
        <w:rPr>
          <w:i/>
        </w:rPr>
        <w:t>in vitro</w:t>
      </w:r>
      <w:r w:rsidRPr="00624952">
        <w:t>. This pipeline is robust to image noise, open source, and user friendly. In particular, we show that H10 aids in the reduction of migration of MDA-MB-231 cells by blocking sAGR2.</w:t>
      </w:r>
    </w:p>
    <w:p w14:paraId="3BE19977" w14:textId="77777777" w:rsidR="00B62A72" w:rsidRPr="00624952" w:rsidRDefault="00B62A72" w:rsidP="00EA7AD4"/>
    <w:p w14:paraId="58C92F3D" w14:textId="77777777" w:rsidR="00D555C5" w:rsidRPr="00624952" w:rsidRDefault="00D555C5" w:rsidP="00EA7AD4">
      <w:pPr>
        <w:pStyle w:val="Heading1"/>
      </w:pPr>
      <w:r w:rsidRPr="00624952">
        <w:t>Acknowledgements</w:t>
      </w:r>
    </w:p>
    <w:p w14:paraId="39261C2A" w14:textId="77777777" w:rsidR="00D555C5" w:rsidRPr="00624952" w:rsidRDefault="00D555C5" w:rsidP="00EA7AD4"/>
    <w:p w14:paraId="06134B68" w14:textId="77777777" w:rsidR="00D555C5" w:rsidRPr="00624952" w:rsidRDefault="00045C28" w:rsidP="00EA7AD4">
      <w:r w:rsidRPr="00624952">
        <w:t>We thank the USC Center for Applied Molecular Medicine for generous</w:t>
      </w:r>
      <w:r w:rsidR="00DB1D89" w:rsidRPr="00624952">
        <w:t xml:space="preserve"> </w:t>
      </w:r>
      <w:r w:rsidRPr="00624952">
        <w:t>resources, the National Institutes of Health (Physical Sciences Oncology Center</w:t>
      </w:r>
      <w:r w:rsidR="00DB1D89" w:rsidRPr="00624952">
        <w:t xml:space="preserve"> </w:t>
      </w:r>
      <w:r w:rsidRPr="00624952">
        <w:t>gra</w:t>
      </w:r>
      <w:r w:rsidR="00DB1D89" w:rsidRPr="00624952">
        <w:t xml:space="preserve">nt 5U54CA143907 for Multi-scale </w:t>
      </w:r>
      <w:r w:rsidRPr="00624952">
        <w:t>Complex Systems Transdisciplinary Analysis</w:t>
      </w:r>
      <w:r w:rsidR="00DB1D89" w:rsidRPr="00624952">
        <w:t xml:space="preserve"> </w:t>
      </w:r>
      <w:r w:rsidRPr="00624952">
        <w:t>of Res</w:t>
      </w:r>
      <w:r w:rsidR="00DB1D89" w:rsidRPr="00624952">
        <w:t xml:space="preserve">ponse to Therapy (MCSTART), and </w:t>
      </w:r>
      <w:r w:rsidRPr="00624952">
        <w:t>1R01CA180149), the Breast Cancer</w:t>
      </w:r>
      <w:r w:rsidR="00DB1D89" w:rsidRPr="00624952">
        <w:t xml:space="preserve"> </w:t>
      </w:r>
      <w:r w:rsidRPr="00624952">
        <w:t>Research Foundation, the USC James H. Zumberge Research and Innovation</w:t>
      </w:r>
      <w:r w:rsidR="00DB1D89" w:rsidRPr="00624952">
        <w:t xml:space="preserve"> </w:t>
      </w:r>
      <w:r w:rsidRPr="00624952">
        <w:t>Fund, and USC Provost’s PhD fellowsh</w:t>
      </w:r>
      <w:r w:rsidR="00DB1D89" w:rsidRPr="00624952">
        <w:t xml:space="preserve">ip for their generous financial </w:t>
      </w:r>
      <w:r w:rsidRPr="00624952">
        <w:t>support</w:t>
      </w:r>
      <w:r w:rsidR="00DB1D89" w:rsidRPr="00624952">
        <w:t>.</w:t>
      </w:r>
    </w:p>
    <w:p w14:paraId="2D408796" w14:textId="77777777" w:rsidR="00366A22" w:rsidRPr="00624952" w:rsidRDefault="00366A22" w:rsidP="00EA7AD4"/>
    <w:p w14:paraId="3083A3B3" w14:textId="77777777" w:rsidR="00EF7152" w:rsidRPr="00EF7152" w:rsidRDefault="006F5F49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  <w:r w:rsidRPr="00624952">
        <w:fldChar w:fldCharType="begin"/>
      </w:r>
      <w:r w:rsidR="00366A22" w:rsidRPr="00624952">
        <w:instrText xml:space="preserve"> ADDIN EN.REFLIST </w:instrText>
      </w:r>
      <w:r w:rsidRPr="00624952">
        <w:fldChar w:fldCharType="separate"/>
      </w:r>
      <w:r w:rsidR="00EF7152" w:rsidRPr="00EF7152">
        <w:rPr>
          <w:rFonts w:ascii="Source Serif Pro" w:hAnsi="Source Serif Pro"/>
          <w:b/>
          <w:sz w:val="24"/>
          <w:u w:val="single"/>
        </w:rPr>
        <w:t>References</w:t>
      </w:r>
    </w:p>
    <w:p w14:paraId="3E955B8C" w14:textId="77777777" w:rsidR="00EF7152" w:rsidRPr="00EF7152" w:rsidRDefault="00EF7152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</w:p>
    <w:p w14:paraId="011E903C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[1]</w:t>
      </w:r>
      <w:r w:rsidRPr="00EF7152">
        <w:tab/>
        <w:t>D. H. Jones, T. Nakashima, O. H. Sanchez, I. Kozieradzki, S. V. Komarova, I. Sarosi</w:t>
      </w:r>
      <w:r w:rsidRPr="00EF7152">
        <w:rPr>
          <w:i/>
        </w:rPr>
        <w:t>, et al.</w:t>
      </w:r>
      <w:r w:rsidRPr="00EF7152">
        <w:t xml:space="preserve">, "Regulation of cancer cell migration and bone metastasis by RANKL," </w:t>
      </w:r>
      <w:r w:rsidRPr="00EF7152">
        <w:rPr>
          <w:i/>
        </w:rPr>
        <w:t xml:space="preserve">Nature, </w:t>
      </w:r>
      <w:r w:rsidRPr="00EF7152">
        <w:t>vol. 440, pp. 692-696, 2006.</w:t>
      </w:r>
    </w:p>
    <w:p w14:paraId="2D52DD90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[2]</w:t>
      </w:r>
      <w:r w:rsidRPr="00EF7152">
        <w:tab/>
        <w:t xml:space="preserve">V. Brychtova, A. Mohtar, B. Vojtesek, and T. R. Hupp, "Mechanisms of anterior gradient-2 regulation and function in cancer," in </w:t>
      </w:r>
      <w:r w:rsidRPr="00EF7152">
        <w:rPr>
          <w:i/>
        </w:rPr>
        <w:t>Seminars in cancer biology</w:t>
      </w:r>
      <w:r w:rsidRPr="00EF7152">
        <w:t>, 2015, pp. 16-24.</w:t>
      </w:r>
    </w:p>
    <w:p w14:paraId="59584A32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[3]</w:t>
      </w:r>
      <w:r w:rsidRPr="00EF7152">
        <w:tab/>
        <w:t>K. Kani, P. D. Malihi, Y. Jiang, H. Wang, Y. Wang, D. L. Ruderman</w:t>
      </w:r>
      <w:r w:rsidRPr="00EF7152">
        <w:rPr>
          <w:i/>
        </w:rPr>
        <w:t>, et al.</w:t>
      </w:r>
      <w:r w:rsidRPr="00EF7152">
        <w:t>, "Anterior gradient 2 (AGR2): Blood</w:t>
      </w:r>
      <w:r w:rsidRPr="00EF7152">
        <w:rPr>
          <w:rFonts w:ascii="Cambria Math" w:hAnsi="Cambria Math" w:cs="Cambria Math"/>
        </w:rPr>
        <w:t>‐</w:t>
      </w:r>
      <w:r w:rsidRPr="00EF7152">
        <w:t xml:space="preserve">based biomarker elevated in metastatic prostate cancer associated with the neuroendocrine phenotype," </w:t>
      </w:r>
      <w:r w:rsidRPr="00EF7152">
        <w:rPr>
          <w:i/>
        </w:rPr>
        <w:t xml:space="preserve">The Prostate, </w:t>
      </w:r>
      <w:r w:rsidRPr="00EF7152">
        <w:t>vol. 73, pp. 306-315, 2013.</w:t>
      </w:r>
    </w:p>
    <w:p w14:paraId="648E8ED8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[4]</w:t>
      </w:r>
      <w:r w:rsidRPr="00EF7152">
        <w:tab/>
        <w:t>F. R. Fritzsche, E. Dahl, S. Pahl, M. Burkhardt, J. Luo, E. Mayordomo</w:t>
      </w:r>
      <w:r w:rsidRPr="00EF7152">
        <w:rPr>
          <w:i/>
        </w:rPr>
        <w:t>, et al.</w:t>
      </w:r>
      <w:r w:rsidRPr="00EF7152">
        <w:t xml:space="preserve">, "Prognostic relevance of AGR2 expression in breast cancer," </w:t>
      </w:r>
      <w:r w:rsidRPr="00EF7152">
        <w:rPr>
          <w:i/>
        </w:rPr>
        <w:t xml:space="preserve">Clinical Cancer Research, </w:t>
      </w:r>
      <w:r w:rsidRPr="00EF7152">
        <w:t>vol. 12, pp. 1728-1734, 2006.</w:t>
      </w:r>
    </w:p>
    <w:p w14:paraId="32F9F604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[5]</w:t>
      </w:r>
      <w:r w:rsidRPr="00EF7152">
        <w:tab/>
        <w:t xml:space="preserve">J. T. Price, T. Tiganis, A. Agarwal, D. Djakiew, and E. W. Thompson, "Epidermal growth factor promotes MDA-MB-231 breast cancer cell migration through a phosphatidylinositol 3′-kinase and phospholipase C-dependent mechanism," </w:t>
      </w:r>
      <w:r w:rsidRPr="00EF7152">
        <w:rPr>
          <w:i/>
        </w:rPr>
        <w:t xml:space="preserve">Cancer research, </w:t>
      </w:r>
      <w:r w:rsidRPr="00EF7152">
        <w:t>vol. 59, pp. 5475-5478, 1999.</w:t>
      </w:r>
    </w:p>
    <w:p w14:paraId="079CAB0E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[6]</w:t>
      </w:r>
      <w:r w:rsidRPr="00EF7152">
        <w:tab/>
        <w:t xml:space="preserve">D. Zhang, R. Yang, S. Wang, and Z. Dong, "Paclitaxel: new uses for an old drug," </w:t>
      </w:r>
      <w:r w:rsidRPr="00EF7152">
        <w:rPr>
          <w:i/>
        </w:rPr>
        <w:t xml:space="preserve">Drug design, development and therapy, </w:t>
      </w:r>
      <w:r w:rsidRPr="00EF7152">
        <w:t>vol. 8, p. 279, 2014.</w:t>
      </w:r>
    </w:p>
    <w:p w14:paraId="641FAD00" w14:textId="2E3CB4CA" w:rsidR="00956A27" w:rsidRPr="00624952" w:rsidRDefault="006F5F49" w:rsidP="00EA7AD4">
      <w:r w:rsidRPr="00624952">
        <w:fldChar w:fldCharType="end"/>
      </w:r>
    </w:p>
    <w:p w14:paraId="668CB0D1" w14:textId="77777777" w:rsidR="00956A27" w:rsidRDefault="00956A27">
      <w:pPr>
        <w:spacing w:after="160" w:line="259" w:lineRule="auto"/>
        <w:rPr>
          <w:rFonts w:ascii="Source Serif Pro" w:hAnsi="Source Serif Pro"/>
          <w:b/>
          <w:sz w:val="24"/>
          <w:szCs w:val="24"/>
          <w:u w:val="single"/>
        </w:rPr>
      </w:pPr>
      <w:r>
        <w:br w:type="page"/>
      </w:r>
    </w:p>
    <w:p w14:paraId="1590072A" w14:textId="422103F3" w:rsidR="00956A27" w:rsidRDefault="00956A27" w:rsidP="00EA7AD4">
      <w:pPr>
        <w:pStyle w:val="Heading1"/>
      </w:pPr>
      <w:r w:rsidRPr="00956A27">
        <w:lastRenderedPageBreak/>
        <w:t>Data and Software Availability</w:t>
      </w:r>
    </w:p>
    <w:p w14:paraId="0EAE73A9" w14:textId="77777777" w:rsidR="00956A27" w:rsidRDefault="00956A27" w:rsidP="00956A27"/>
    <w:p w14:paraId="07A160D1" w14:textId="74F8AF71" w:rsidR="00956A27" w:rsidRDefault="00956A27" w:rsidP="00956A27">
      <w:r>
        <w:t xml:space="preserve">The code and data used throughout this manuscript can be accessed in the public </w:t>
      </w:r>
      <w:r w:rsidR="008F7C29">
        <w:t>G</w:t>
      </w:r>
      <w:r>
        <w:t>it</w:t>
      </w:r>
      <w:r w:rsidR="008F7C29">
        <w:t>H</w:t>
      </w:r>
      <w:r>
        <w:t xml:space="preserve">ub repository: </w:t>
      </w:r>
      <w:hyperlink r:id="rId11" w:history="1">
        <w:r w:rsidRPr="008F7C29">
          <w:rPr>
            <w:rStyle w:val="Hyperlink"/>
          </w:rPr>
          <w:t>https://github.com/edjuaro/cell-migration-quantification</w:t>
        </w:r>
      </w:hyperlink>
      <w:r w:rsidR="008F7C29">
        <w:t>.</w:t>
      </w:r>
    </w:p>
    <w:p w14:paraId="4D5C59EA" w14:textId="77777777" w:rsidR="00956A27" w:rsidRPr="00956A27" w:rsidRDefault="00956A27" w:rsidP="00956A27"/>
    <w:p w14:paraId="4AE21DAD" w14:textId="2661EB63" w:rsidR="00417F6C" w:rsidRPr="00624952" w:rsidRDefault="00417F6C" w:rsidP="00EA7AD4">
      <w:pPr>
        <w:pStyle w:val="Heading1"/>
      </w:pPr>
      <w:r w:rsidRPr="00624952">
        <w:t>Contributions</w:t>
      </w:r>
    </w:p>
    <w:p w14:paraId="5F994BB7" w14:textId="77777777" w:rsidR="00417F6C" w:rsidRPr="00624952" w:rsidRDefault="00417F6C" w:rsidP="00EA7AD4"/>
    <w:p w14:paraId="58FDC86D" w14:textId="09F0DA78" w:rsidR="00413708" w:rsidRPr="00624952" w:rsidRDefault="00417F6C" w:rsidP="00EA7AD4">
      <w:r w:rsidRPr="00624952">
        <w:t>Conceptualization of the main idea presente</w:t>
      </w:r>
      <w:r w:rsidR="00FF53F7">
        <w:t>d in the paper: EFJ, CG, AG,</w:t>
      </w:r>
      <w:r w:rsidRPr="00624952">
        <w:t xml:space="preserve"> and KK.</w:t>
      </w:r>
      <w:r w:rsidR="00EA7AD4">
        <w:t xml:space="preserve"> Model </w:t>
      </w:r>
      <w:r w:rsidRPr="00624952">
        <w:t>development: EFJ, CG, and AG.</w:t>
      </w:r>
      <w:r w:rsidR="00D375C0" w:rsidRPr="00624952">
        <w:t xml:space="preserve"> </w:t>
      </w:r>
      <w:r w:rsidR="00EA7AD4">
        <w:t xml:space="preserve"> </w:t>
      </w:r>
      <w:r w:rsidRPr="00624952">
        <w:t>Software &amp; Computation: EFJ and AG.</w:t>
      </w:r>
      <w:r w:rsidR="00D375C0" w:rsidRPr="00624952">
        <w:t xml:space="preserve"> </w:t>
      </w:r>
      <w:r w:rsidR="00EA7AD4">
        <w:t xml:space="preserve"> </w:t>
      </w:r>
      <w:r w:rsidRPr="00624952">
        <w:t>Biological Experiments: CG and KK.</w:t>
      </w:r>
      <w:r w:rsidR="00D375C0" w:rsidRPr="00624952">
        <w:t xml:space="preserve"> </w:t>
      </w:r>
      <w:r w:rsidR="00EA7AD4">
        <w:t xml:space="preserve"> </w:t>
      </w:r>
      <w:r w:rsidRPr="00624952">
        <w:t>Analysis of the results: EFJ, CG, and AG.</w:t>
      </w:r>
      <w:r w:rsidR="00D375C0" w:rsidRPr="00624952">
        <w:t xml:space="preserve"> </w:t>
      </w:r>
      <w:r w:rsidR="00EA7AD4">
        <w:t xml:space="preserve"> </w:t>
      </w:r>
      <w:r w:rsidRPr="00624952">
        <w:t>Writing – Original Draft: EFJ</w:t>
      </w:r>
      <w:r w:rsidR="00EA7AD4">
        <w:t>.</w:t>
      </w:r>
      <w:r w:rsidR="00D375C0" w:rsidRPr="00624952">
        <w:t xml:space="preserve"> </w:t>
      </w:r>
      <w:r w:rsidRPr="00624952">
        <w:t xml:space="preserve">Writing – </w:t>
      </w:r>
      <w:r w:rsidR="000063FB" w:rsidRPr="00624952">
        <w:t>Review &amp; Editing: EFJ, CG,</w:t>
      </w:r>
      <w:r w:rsidRPr="00624952">
        <w:t xml:space="preserve"> AG</w:t>
      </w:r>
      <w:r w:rsidR="000B27D0" w:rsidRPr="00624952">
        <w:t>, PM</w:t>
      </w:r>
      <w:r w:rsidR="000063FB" w:rsidRPr="00624952">
        <w:t>,</w:t>
      </w:r>
      <w:r w:rsidR="000B27D0" w:rsidRPr="00624952">
        <w:t xml:space="preserve"> </w:t>
      </w:r>
      <w:r w:rsidR="000063FB" w:rsidRPr="00624952">
        <w:t>and</w:t>
      </w:r>
      <w:r w:rsidR="000B27D0" w:rsidRPr="00624952">
        <w:t xml:space="preserve"> KK</w:t>
      </w:r>
      <w:r w:rsidRPr="00624952">
        <w:t>.</w:t>
      </w:r>
      <w:r w:rsidR="00D375C0" w:rsidRPr="00624952">
        <w:t xml:space="preserve"> </w:t>
      </w:r>
      <w:r w:rsidR="00EA7AD4">
        <w:t xml:space="preserve"> </w:t>
      </w:r>
      <w:r w:rsidRPr="00624952">
        <w:t xml:space="preserve">Supervision: PM </w:t>
      </w:r>
      <w:r w:rsidR="00837560" w:rsidRPr="00624952">
        <w:t>and</w:t>
      </w:r>
      <w:r w:rsidRPr="00624952">
        <w:t xml:space="preserve"> KK.</w:t>
      </w:r>
    </w:p>
    <w:sectPr w:rsidR="00413708" w:rsidRPr="00624952" w:rsidSect="00D063B4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93F5B" w14:textId="77777777" w:rsidR="00975D1D" w:rsidRDefault="00975D1D" w:rsidP="00D375C0">
      <w:r>
        <w:separator/>
      </w:r>
    </w:p>
  </w:endnote>
  <w:endnote w:type="continuationSeparator" w:id="0">
    <w:p w14:paraId="0D10BA79" w14:textId="77777777" w:rsidR="00975D1D" w:rsidRDefault="00975D1D" w:rsidP="00D375C0">
      <w:r>
        <w:continuationSeparator/>
      </w:r>
    </w:p>
  </w:endnote>
  <w:endnote w:type="continuationNotice" w:id="1">
    <w:p w14:paraId="6A43406B" w14:textId="77777777" w:rsidR="00975D1D" w:rsidRDefault="00975D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Source Serif Pro">
    <w:altName w:val="Century"/>
    <w:panose1 w:val="02040603050405020204"/>
    <w:charset w:val="00"/>
    <w:family w:val="roman"/>
    <w:notTrueType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65FF5C" w14:textId="77777777" w:rsidR="00975D1D" w:rsidRDefault="00975D1D" w:rsidP="00D375C0">
      <w:r>
        <w:separator/>
      </w:r>
    </w:p>
  </w:footnote>
  <w:footnote w:type="continuationSeparator" w:id="0">
    <w:p w14:paraId="4DEE3DC9" w14:textId="77777777" w:rsidR="00975D1D" w:rsidRDefault="00975D1D" w:rsidP="00D375C0">
      <w:r>
        <w:continuationSeparator/>
      </w:r>
    </w:p>
  </w:footnote>
  <w:footnote w:type="continuationNotice" w:id="1">
    <w:p w14:paraId="6F7D346E" w14:textId="77777777" w:rsidR="00975D1D" w:rsidRDefault="00975D1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D1068"/>
    <w:multiLevelType w:val="multilevel"/>
    <w:tmpl w:val="10C2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Source Sans Pro&lt;/FontName&gt;&lt;FontSize&gt;11&lt;/FontSize&gt;&lt;ReflistTitle&gt;&lt;style face=&quot;bold underline&quot; font=&quot;Source Serif Pro&quot; size=&quot;12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/ENLayout&gt;"/>
    <w:docVar w:name="EN.Libraries" w:val="&lt;Libraries&gt;&lt;item db-id=&quot;axe9pdsewpz5wied2vkp2xtmv50fw59xa599&quot;&gt;CellPD_final_references&lt;record-ids&gt;&lt;item&gt;54&lt;/item&gt;&lt;/record-ids&gt;&lt;/item&gt;&lt;/Libraries&gt;"/>
  </w:docVars>
  <w:rsids>
    <w:rsidRoot w:val="00DF13C8"/>
    <w:rsid w:val="000012FF"/>
    <w:rsid w:val="00004A8B"/>
    <w:rsid w:val="000063FB"/>
    <w:rsid w:val="000205D3"/>
    <w:rsid w:val="000340E6"/>
    <w:rsid w:val="00045C28"/>
    <w:rsid w:val="000769A1"/>
    <w:rsid w:val="00092AFA"/>
    <w:rsid w:val="000A41E2"/>
    <w:rsid w:val="000B27D0"/>
    <w:rsid w:val="000D3FE6"/>
    <w:rsid w:val="000E57CC"/>
    <w:rsid w:val="000E6E57"/>
    <w:rsid w:val="001023DD"/>
    <w:rsid w:val="00122967"/>
    <w:rsid w:val="0012590F"/>
    <w:rsid w:val="001377BE"/>
    <w:rsid w:val="001473E8"/>
    <w:rsid w:val="00153856"/>
    <w:rsid w:val="001566DF"/>
    <w:rsid w:val="00180A5F"/>
    <w:rsid w:val="001C091A"/>
    <w:rsid w:val="001D67E3"/>
    <w:rsid w:val="001E54F2"/>
    <w:rsid w:val="001F591B"/>
    <w:rsid w:val="001F63D6"/>
    <w:rsid w:val="0020404B"/>
    <w:rsid w:val="00204FED"/>
    <w:rsid w:val="00214455"/>
    <w:rsid w:val="002222CE"/>
    <w:rsid w:val="00227B7B"/>
    <w:rsid w:val="00234FEE"/>
    <w:rsid w:val="00251F20"/>
    <w:rsid w:val="00255B67"/>
    <w:rsid w:val="00264380"/>
    <w:rsid w:val="00264517"/>
    <w:rsid w:val="002A23E3"/>
    <w:rsid w:val="002A7F41"/>
    <w:rsid w:val="002C1EAC"/>
    <w:rsid w:val="002C2158"/>
    <w:rsid w:val="002D3E59"/>
    <w:rsid w:val="002E5973"/>
    <w:rsid w:val="002F1EE3"/>
    <w:rsid w:val="002F237C"/>
    <w:rsid w:val="00302794"/>
    <w:rsid w:val="00306DF8"/>
    <w:rsid w:val="003148DE"/>
    <w:rsid w:val="0034182D"/>
    <w:rsid w:val="003530EB"/>
    <w:rsid w:val="00355E1E"/>
    <w:rsid w:val="0036161F"/>
    <w:rsid w:val="00361808"/>
    <w:rsid w:val="00364711"/>
    <w:rsid w:val="00366A22"/>
    <w:rsid w:val="00371D09"/>
    <w:rsid w:val="003A0734"/>
    <w:rsid w:val="003A0ABE"/>
    <w:rsid w:val="003A3C4E"/>
    <w:rsid w:val="003A5D40"/>
    <w:rsid w:val="003D47E0"/>
    <w:rsid w:val="003D515A"/>
    <w:rsid w:val="00413708"/>
    <w:rsid w:val="00417F6C"/>
    <w:rsid w:val="004453F5"/>
    <w:rsid w:val="0044567A"/>
    <w:rsid w:val="004466D2"/>
    <w:rsid w:val="00457374"/>
    <w:rsid w:val="00460D1C"/>
    <w:rsid w:val="004642CB"/>
    <w:rsid w:val="0046492A"/>
    <w:rsid w:val="00484213"/>
    <w:rsid w:val="004A2F0B"/>
    <w:rsid w:val="004B7FD6"/>
    <w:rsid w:val="004C3FF0"/>
    <w:rsid w:val="004D0654"/>
    <w:rsid w:val="00517C2E"/>
    <w:rsid w:val="00537068"/>
    <w:rsid w:val="0054296E"/>
    <w:rsid w:val="00562BAE"/>
    <w:rsid w:val="00573DA2"/>
    <w:rsid w:val="00580A08"/>
    <w:rsid w:val="0059071A"/>
    <w:rsid w:val="00591D90"/>
    <w:rsid w:val="005B2295"/>
    <w:rsid w:val="005E55F3"/>
    <w:rsid w:val="00610569"/>
    <w:rsid w:val="00611E3F"/>
    <w:rsid w:val="00624952"/>
    <w:rsid w:val="006320AD"/>
    <w:rsid w:val="006321C0"/>
    <w:rsid w:val="00634989"/>
    <w:rsid w:val="006357EE"/>
    <w:rsid w:val="0067683C"/>
    <w:rsid w:val="006A1D8F"/>
    <w:rsid w:val="006B7582"/>
    <w:rsid w:val="006C2011"/>
    <w:rsid w:val="006E6E64"/>
    <w:rsid w:val="006F5F49"/>
    <w:rsid w:val="00731625"/>
    <w:rsid w:val="00735859"/>
    <w:rsid w:val="00755F97"/>
    <w:rsid w:val="00762646"/>
    <w:rsid w:val="00762AD5"/>
    <w:rsid w:val="007743FD"/>
    <w:rsid w:val="007777D0"/>
    <w:rsid w:val="00794670"/>
    <w:rsid w:val="007A3552"/>
    <w:rsid w:val="007C1391"/>
    <w:rsid w:val="007C54AD"/>
    <w:rsid w:val="00822D17"/>
    <w:rsid w:val="0082577C"/>
    <w:rsid w:val="008310B7"/>
    <w:rsid w:val="008321A4"/>
    <w:rsid w:val="00835988"/>
    <w:rsid w:val="008362A9"/>
    <w:rsid w:val="00837560"/>
    <w:rsid w:val="00845E68"/>
    <w:rsid w:val="00885D9F"/>
    <w:rsid w:val="00890325"/>
    <w:rsid w:val="008A2CE7"/>
    <w:rsid w:val="008B7356"/>
    <w:rsid w:val="008C3809"/>
    <w:rsid w:val="008C4870"/>
    <w:rsid w:val="008D7DA4"/>
    <w:rsid w:val="008E090D"/>
    <w:rsid w:val="008E6838"/>
    <w:rsid w:val="008F7C29"/>
    <w:rsid w:val="00900C42"/>
    <w:rsid w:val="00905325"/>
    <w:rsid w:val="00912D57"/>
    <w:rsid w:val="009229E0"/>
    <w:rsid w:val="00924D26"/>
    <w:rsid w:val="009523AB"/>
    <w:rsid w:val="00956A27"/>
    <w:rsid w:val="00975D1D"/>
    <w:rsid w:val="00977DAF"/>
    <w:rsid w:val="009909AD"/>
    <w:rsid w:val="009967D5"/>
    <w:rsid w:val="00996FFC"/>
    <w:rsid w:val="009B75FA"/>
    <w:rsid w:val="009C6ADE"/>
    <w:rsid w:val="009D333D"/>
    <w:rsid w:val="009F07EE"/>
    <w:rsid w:val="00A1558D"/>
    <w:rsid w:val="00A33859"/>
    <w:rsid w:val="00A3426F"/>
    <w:rsid w:val="00A34287"/>
    <w:rsid w:val="00A43F0E"/>
    <w:rsid w:val="00A52718"/>
    <w:rsid w:val="00A6085A"/>
    <w:rsid w:val="00A76770"/>
    <w:rsid w:val="00A85E8A"/>
    <w:rsid w:val="00AA43B9"/>
    <w:rsid w:val="00AC2A15"/>
    <w:rsid w:val="00AC3C0E"/>
    <w:rsid w:val="00AC5425"/>
    <w:rsid w:val="00AE37B8"/>
    <w:rsid w:val="00AE717E"/>
    <w:rsid w:val="00B27E97"/>
    <w:rsid w:val="00B346B2"/>
    <w:rsid w:val="00B37C74"/>
    <w:rsid w:val="00B426A6"/>
    <w:rsid w:val="00B50797"/>
    <w:rsid w:val="00B576B1"/>
    <w:rsid w:val="00B62A72"/>
    <w:rsid w:val="00B63797"/>
    <w:rsid w:val="00B709CC"/>
    <w:rsid w:val="00B82B0D"/>
    <w:rsid w:val="00BB7423"/>
    <w:rsid w:val="00BB7AD3"/>
    <w:rsid w:val="00BC1957"/>
    <w:rsid w:val="00BC60C1"/>
    <w:rsid w:val="00BC6999"/>
    <w:rsid w:val="00BE5BB0"/>
    <w:rsid w:val="00BE74B3"/>
    <w:rsid w:val="00BE7940"/>
    <w:rsid w:val="00C3371C"/>
    <w:rsid w:val="00C52CC0"/>
    <w:rsid w:val="00C53105"/>
    <w:rsid w:val="00C7428F"/>
    <w:rsid w:val="00C82690"/>
    <w:rsid w:val="00C84FD5"/>
    <w:rsid w:val="00C908A9"/>
    <w:rsid w:val="00C96714"/>
    <w:rsid w:val="00CA28DC"/>
    <w:rsid w:val="00CA5F71"/>
    <w:rsid w:val="00CB5444"/>
    <w:rsid w:val="00CC1526"/>
    <w:rsid w:val="00CC41C4"/>
    <w:rsid w:val="00CE04FF"/>
    <w:rsid w:val="00D057D1"/>
    <w:rsid w:val="00D05E05"/>
    <w:rsid w:val="00D063B4"/>
    <w:rsid w:val="00D07A59"/>
    <w:rsid w:val="00D375C0"/>
    <w:rsid w:val="00D555C5"/>
    <w:rsid w:val="00D5618C"/>
    <w:rsid w:val="00D64979"/>
    <w:rsid w:val="00D74D51"/>
    <w:rsid w:val="00D80518"/>
    <w:rsid w:val="00D82ADE"/>
    <w:rsid w:val="00D96A91"/>
    <w:rsid w:val="00DB1D89"/>
    <w:rsid w:val="00DB1DF4"/>
    <w:rsid w:val="00DC19F4"/>
    <w:rsid w:val="00DE1088"/>
    <w:rsid w:val="00DF13C8"/>
    <w:rsid w:val="00E02734"/>
    <w:rsid w:val="00E26081"/>
    <w:rsid w:val="00E31D91"/>
    <w:rsid w:val="00E37EF8"/>
    <w:rsid w:val="00E5783A"/>
    <w:rsid w:val="00E628F5"/>
    <w:rsid w:val="00E751F4"/>
    <w:rsid w:val="00EA7AD4"/>
    <w:rsid w:val="00EC3043"/>
    <w:rsid w:val="00ED003C"/>
    <w:rsid w:val="00EE0327"/>
    <w:rsid w:val="00EE1914"/>
    <w:rsid w:val="00EF7152"/>
    <w:rsid w:val="00F0557D"/>
    <w:rsid w:val="00F65A0C"/>
    <w:rsid w:val="00F84E12"/>
    <w:rsid w:val="00F92C02"/>
    <w:rsid w:val="00FC0567"/>
    <w:rsid w:val="00FF53F7"/>
    <w:rsid w:val="00FF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2391D89E"/>
  <w15:docId w15:val="{E04A8185-BA08-4B43-81F0-C15C57C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75C0"/>
    <w:pPr>
      <w:spacing w:after="0" w:line="240" w:lineRule="auto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5C0"/>
    <w:pPr>
      <w:jc w:val="center"/>
      <w:outlineLvl w:val="0"/>
    </w:pPr>
    <w:rPr>
      <w:rFonts w:ascii="Source Serif Pro" w:hAnsi="Source Serif Pro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77C"/>
    <w:pPr>
      <w:keepNext/>
      <w:keepLines/>
      <w:spacing w:before="40"/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C0"/>
    <w:rPr>
      <w:rFonts w:ascii="Source Serif Pro" w:hAnsi="Source Serif Pro"/>
      <w:b/>
      <w:sz w:val="24"/>
      <w:szCs w:val="24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2577C"/>
    <w:rPr>
      <w:rFonts w:ascii="Source Sans Pro" w:hAnsi="Source Sans Pro"/>
      <w:b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C3FF0"/>
    <w:pPr>
      <w:jc w:val="center"/>
    </w:pPr>
    <w:rPr>
      <w:rFonts w:ascii="Source Serif Pro" w:hAnsi="Source Serif Pro"/>
      <w:b/>
    </w:rPr>
  </w:style>
  <w:style w:type="character" w:customStyle="1" w:styleId="TitleChar">
    <w:name w:val="Title Char"/>
    <w:basedOn w:val="DefaultParagraphFont"/>
    <w:link w:val="Title"/>
    <w:uiPriority w:val="10"/>
    <w:rsid w:val="004C3FF0"/>
    <w:rPr>
      <w:rFonts w:ascii="Source Serif Pro" w:hAnsi="Source Serif Pro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F0"/>
    <w:pPr>
      <w:jc w:val="center"/>
    </w:pPr>
    <w:rPr>
      <w:rFonts w:ascii="Source Serif Pro" w:hAnsi="Source Serif Pro"/>
    </w:rPr>
  </w:style>
  <w:style w:type="character" w:customStyle="1" w:styleId="SubtitleChar">
    <w:name w:val="Subtitle Char"/>
    <w:basedOn w:val="DefaultParagraphFont"/>
    <w:link w:val="Subtitle"/>
    <w:uiPriority w:val="11"/>
    <w:rsid w:val="004C3FF0"/>
    <w:rPr>
      <w:rFonts w:ascii="Source Serif Pro" w:hAnsi="Source Serif Pr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3B4"/>
    <w:rPr>
      <w:rFonts w:ascii="Source Sans Pro" w:hAnsi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3B4"/>
    <w:rPr>
      <w:rFonts w:ascii="Source Sans Pro" w:hAnsi="Source Sans Pro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66A22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66A22"/>
    <w:rPr>
      <w:rFonts w:ascii="Source Sans Pro" w:hAnsi="Source Sans Pro"/>
      <w:noProof/>
    </w:rPr>
  </w:style>
  <w:style w:type="paragraph" w:customStyle="1" w:styleId="EndNoteBibliography">
    <w:name w:val="EndNote Bibliography"/>
    <w:basedOn w:val="Normal"/>
    <w:link w:val="EndNoteBibliographyChar"/>
    <w:rsid w:val="00366A22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66A22"/>
    <w:rPr>
      <w:rFonts w:ascii="Source Sans Pro" w:hAnsi="Source Sans Pro"/>
      <w:noProof/>
    </w:rPr>
  </w:style>
  <w:style w:type="character" w:styleId="PlaceholderText">
    <w:name w:val="Placeholder Text"/>
    <w:basedOn w:val="DefaultParagraphFont"/>
    <w:uiPriority w:val="99"/>
    <w:semiHidden/>
    <w:rsid w:val="009F07E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34989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A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AB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3F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7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43F0E"/>
    <w:rPr>
      <w:rFonts w:ascii="Source Sans Pro" w:hAnsi="Source Sans Pr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3F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3F0E"/>
    <w:rPr>
      <w:rFonts w:ascii="Source Sans Pro" w:hAnsi="Source Sans Pro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A43B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unhideWhenUsed/>
    <w:rsid w:val="00635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24952"/>
    <w:pPr>
      <w:spacing w:after="0" w:line="240" w:lineRule="auto"/>
    </w:pPr>
    <w:rPr>
      <w:rFonts w:ascii="Source Sans Pro" w:hAnsi="Source Sans Pro"/>
    </w:rPr>
  </w:style>
  <w:style w:type="paragraph" w:customStyle="1" w:styleId="listp">
    <w:name w:val="listp"/>
    <w:basedOn w:val="Normal"/>
    <w:rsid w:val="00AE37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1D09"/>
  </w:style>
  <w:style w:type="character" w:styleId="Hyperlink">
    <w:name w:val="Hyperlink"/>
    <w:basedOn w:val="DefaultParagraphFont"/>
    <w:uiPriority w:val="99"/>
    <w:unhideWhenUsed/>
    <w:rsid w:val="008F7C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7C2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7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edjuaro/cell-migration-quantificatio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03B6AD-E801-47F5-BB00-18228354D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2707</Words>
  <Characters>15432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Francisco Juárez Rosales</dc:creator>
  <cp:keywords/>
  <dc:description/>
  <cp:lastModifiedBy>Edwin Francisco Juárez Rosales</cp:lastModifiedBy>
  <cp:revision>6</cp:revision>
  <cp:lastPrinted>2016-10-15T03:50:00Z</cp:lastPrinted>
  <dcterms:created xsi:type="dcterms:W3CDTF">2016-10-15T03:50:00Z</dcterms:created>
  <dcterms:modified xsi:type="dcterms:W3CDTF">2018-04-30T23:41:00Z</dcterms:modified>
</cp:coreProperties>
</file>